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4D" w:rsidRPr="00FE789F" w:rsidRDefault="00D8024D" w:rsidP="00D8024D">
      <w:pPr>
        <w:jc w:val="center"/>
        <w:rPr>
          <w:b/>
        </w:rPr>
      </w:pPr>
      <w:r w:rsidRPr="00FE789F">
        <w:rPr>
          <w:b/>
        </w:rPr>
        <w:t>JAVNI RAZPIS</w:t>
      </w:r>
    </w:p>
    <w:p w:rsidR="00D8024D" w:rsidRPr="00FE789F" w:rsidRDefault="00D8024D" w:rsidP="00D8024D">
      <w:pPr>
        <w:jc w:val="center"/>
        <w:rPr>
          <w:b/>
        </w:rPr>
      </w:pPr>
    </w:p>
    <w:p w:rsidR="00D8024D" w:rsidRPr="00FE789F" w:rsidRDefault="00D8024D" w:rsidP="00D8024D">
      <w:pPr>
        <w:jc w:val="center"/>
      </w:pPr>
      <w:r w:rsidRPr="00FE789F">
        <w:rPr>
          <w:b/>
        </w:rPr>
        <w:t>za sofinanciranje</w:t>
      </w:r>
      <w:r w:rsidRPr="00FE789F">
        <w:t xml:space="preserve"> </w:t>
      </w:r>
      <w:r w:rsidRPr="00FE789F">
        <w:rPr>
          <w:b/>
        </w:rPr>
        <w:t>programov in/ali projektov v  MOL v letu 2013 s področja</w:t>
      </w:r>
    </w:p>
    <w:p w:rsidR="00D8024D" w:rsidRPr="00FE789F" w:rsidRDefault="00D8024D" w:rsidP="00D8024D">
      <w:pPr>
        <w:jc w:val="center"/>
        <w:rPr>
          <w:b/>
        </w:rPr>
      </w:pPr>
      <w:r w:rsidRPr="00FE789F">
        <w:rPr>
          <w:b/>
        </w:rPr>
        <w:t>PODPORNIH STORITEV V VZGOJI IN IZOBRAŽEVANJU TER PROSTEM ČASU OTROK</w:t>
      </w:r>
      <w:r>
        <w:rPr>
          <w:b/>
        </w:rPr>
        <w:t xml:space="preserve"> – DODATNI RAZPIS</w:t>
      </w:r>
    </w:p>
    <w:p w:rsidR="001560F1" w:rsidRDefault="001560F1" w:rsidP="004011D4">
      <w:pPr>
        <w:tabs>
          <w:tab w:val="left" w:pos="720"/>
        </w:tabs>
        <w:ind w:right="-709"/>
        <w:jc w:val="center"/>
        <w:rPr>
          <w:rStyle w:val="HTMLMarkup"/>
          <w:b/>
          <w:i/>
          <w:vanish w:val="0"/>
          <w:color w:val="000000"/>
          <w:sz w:val="32"/>
          <w:szCs w:val="32"/>
          <w:lang w:val="it-IT"/>
        </w:rPr>
      </w:pPr>
    </w:p>
    <w:p w:rsidR="004011D4" w:rsidRPr="00D8024D" w:rsidRDefault="004011D4" w:rsidP="004011D4">
      <w:pPr>
        <w:tabs>
          <w:tab w:val="left" w:pos="720"/>
        </w:tabs>
        <w:ind w:right="-709"/>
        <w:jc w:val="center"/>
        <w:rPr>
          <w:rStyle w:val="Krepko1"/>
          <w:i/>
          <w:color w:val="000000"/>
          <w:sz w:val="24"/>
          <w:lang w:val="it-IT"/>
        </w:rPr>
      </w:pPr>
      <w:r w:rsidRPr="00D8024D">
        <w:rPr>
          <w:rStyle w:val="HTMLMarkup"/>
          <w:b/>
          <w:i/>
          <w:vanish w:val="0"/>
          <w:color w:val="000000"/>
          <w:sz w:val="24"/>
          <w:lang w:val="it-IT"/>
        </w:rPr>
        <w:t>MERILA</w:t>
      </w:r>
      <w:r w:rsidRPr="00D8024D">
        <w:rPr>
          <w:rStyle w:val="Krepko1"/>
          <w:i/>
          <w:color w:val="000000"/>
          <w:sz w:val="24"/>
          <w:lang w:val="it-IT"/>
        </w:rPr>
        <w:t xml:space="preserve"> ZA IZBOR VLOG</w:t>
      </w:r>
    </w:p>
    <w:p w:rsidR="006366A8" w:rsidRPr="00D8024D" w:rsidRDefault="006366A8" w:rsidP="00F55761">
      <w:pPr>
        <w:rPr>
          <w:sz w:val="24"/>
        </w:rPr>
      </w:pPr>
    </w:p>
    <w:p w:rsidR="00F55761" w:rsidRPr="00515756" w:rsidRDefault="00F55761" w:rsidP="00125A60">
      <w:pPr>
        <w:jc w:val="both"/>
        <w:rPr>
          <w:rStyle w:val="HTMLMarkup"/>
          <w:vanish w:val="0"/>
          <w:color w:val="000000"/>
          <w:szCs w:val="22"/>
        </w:rPr>
      </w:pPr>
      <w:r w:rsidRPr="00515756">
        <w:rPr>
          <w:szCs w:val="22"/>
        </w:rPr>
        <w:t xml:space="preserve">Vloge, ki bodo izpolnjevale vse pogoje, navedene v javnem razpisu za </w:t>
      </w:r>
      <w:r w:rsidR="00AB215C" w:rsidRPr="00515756">
        <w:rPr>
          <w:szCs w:val="22"/>
        </w:rPr>
        <w:t xml:space="preserve">sofinanciranje </w:t>
      </w:r>
      <w:r w:rsidR="001560F1">
        <w:rPr>
          <w:szCs w:val="22"/>
        </w:rPr>
        <w:t>prostoča</w:t>
      </w:r>
      <w:r w:rsidR="00B4631E">
        <w:rPr>
          <w:szCs w:val="22"/>
        </w:rPr>
        <w:t>s</w:t>
      </w:r>
      <w:r w:rsidR="001560F1">
        <w:rPr>
          <w:szCs w:val="22"/>
        </w:rPr>
        <w:t xml:space="preserve">nih in preventivnih </w:t>
      </w:r>
      <w:r w:rsidR="00863CD9">
        <w:rPr>
          <w:szCs w:val="22"/>
        </w:rPr>
        <w:t>projektov</w:t>
      </w:r>
      <w:r w:rsidR="001560F1">
        <w:rPr>
          <w:szCs w:val="22"/>
        </w:rPr>
        <w:t xml:space="preserve"> za otroke v</w:t>
      </w:r>
      <w:r w:rsidR="00AB215C" w:rsidRPr="00515756">
        <w:rPr>
          <w:szCs w:val="22"/>
        </w:rPr>
        <w:t xml:space="preserve"> MOL v letu</w:t>
      </w:r>
      <w:r w:rsidRPr="00515756">
        <w:rPr>
          <w:szCs w:val="22"/>
        </w:rPr>
        <w:t xml:space="preserve"> </w:t>
      </w:r>
      <w:r w:rsidR="001560F1">
        <w:rPr>
          <w:szCs w:val="22"/>
        </w:rPr>
        <w:t xml:space="preserve">2013 </w:t>
      </w:r>
      <w:r w:rsidRPr="00515756">
        <w:rPr>
          <w:szCs w:val="22"/>
        </w:rPr>
        <w:t>bodo ocenjene skladno s spodaj navedenimi merili. Vlagatelji</w:t>
      </w:r>
      <w:r w:rsidRPr="00515756">
        <w:rPr>
          <w:rStyle w:val="HTMLMarkup"/>
          <w:vanish w:val="0"/>
          <w:color w:val="000000"/>
          <w:szCs w:val="22"/>
        </w:rPr>
        <w:t xml:space="preserve"> lahko pri ocenjevanju izpolnjevanja </w:t>
      </w:r>
      <w:r w:rsidR="00125A60" w:rsidRPr="00515756">
        <w:rPr>
          <w:rStyle w:val="HTMLMarkup"/>
          <w:vanish w:val="0"/>
          <w:color w:val="000000"/>
          <w:szCs w:val="22"/>
        </w:rPr>
        <w:t xml:space="preserve">meril pridobijo skupaj največ </w:t>
      </w:r>
      <w:r w:rsidR="00D8024D">
        <w:rPr>
          <w:rStyle w:val="HTMLMarkup"/>
          <w:vanish w:val="0"/>
          <w:color w:val="000000"/>
          <w:szCs w:val="22"/>
        </w:rPr>
        <w:t>108</w:t>
      </w:r>
      <w:r w:rsidR="00125A60" w:rsidRPr="00515756">
        <w:rPr>
          <w:rStyle w:val="HTMLMarkup"/>
          <w:vanish w:val="0"/>
          <w:color w:val="000000"/>
          <w:szCs w:val="22"/>
        </w:rPr>
        <w:t xml:space="preserve"> točk. Pri tem pomeni 0 točk izključevalni kriterij oziroma ne</w:t>
      </w:r>
      <w:r w:rsidRPr="00515756">
        <w:rPr>
          <w:rStyle w:val="HTMLMarkup"/>
          <w:vanish w:val="0"/>
          <w:color w:val="000000"/>
          <w:szCs w:val="22"/>
        </w:rPr>
        <w:t>izpolnjevanje posameznega merila</w:t>
      </w:r>
      <w:r w:rsidR="00125A60" w:rsidRPr="00515756">
        <w:rPr>
          <w:rStyle w:val="HTMLMarkup"/>
          <w:vanish w:val="0"/>
          <w:color w:val="000000"/>
          <w:szCs w:val="22"/>
        </w:rPr>
        <w:t xml:space="preserve">. </w:t>
      </w:r>
      <w:r w:rsidRPr="00515756">
        <w:rPr>
          <w:rStyle w:val="HTMLMarkup"/>
          <w:vanish w:val="0"/>
          <w:color w:val="000000"/>
          <w:szCs w:val="22"/>
        </w:rPr>
        <w:t xml:space="preserve"> </w:t>
      </w:r>
    </w:p>
    <w:p w:rsidR="00871F70" w:rsidRPr="004011D4" w:rsidRDefault="00871F70" w:rsidP="006366A8">
      <w:pPr>
        <w:rPr>
          <w:color w:val="000000"/>
          <w:szCs w:val="22"/>
        </w:rPr>
      </w:pP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VSEBINA:</w:t>
      </w:r>
    </w:p>
    <w:p w:rsidR="006366A8" w:rsidRPr="00515756" w:rsidRDefault="006366A8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skladnost ciljev </w:t>
      </w:r>
      <w:r w:rsidR="00863CD9">
        <w:rPr>
          <w:b/>
          <w:szCs w:val="22"/>
        </w:rPr>
        <w:t>projekta</w:t>
      </w:r>
      <w:r w:rsidRPr="00515756">
        <w:rPr>
          <w:b/>
          <w:szCs w:val="22"/>
        </w:rPr>
        <w:t xml:space="preserve"> s cilji, ki so opredeljeni v predmetu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rPr>
          <w:trHeight w:val="231"/>
        </w:trPr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D8024D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ciljev </w:t>
            </w:r>
            <w:r w:rsidR="00D8024D">
              <w:rPr>
                <w:szCs w:val="22"/>
              </w:rPr>
              <w:t xml:space="preserve">projekta </w:t>
            </w:r>
            <w:r w:rsidR="00F55761" w:rsidRPr="00515756">
              <w:rPr>
                <w:szCs w:val="22"/>
              </w:rPr>
              <w:t xml:space="preserve">se ne nanaša na vsaj eno področje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1560F1" w:rsidP="00D8024D">
            <w:pPr>
              <w:jc w:val="both"/>
            </w:pPr>
            <w:r>
              <w:rPr>
                <w:szCs w:val="22"/>
              </w:rPr>
              <w:t>Vsaj p</w:t>
            </w:r>
            <w:r w:rsidR="00F55761" w:rsidRPr="00515756">
              <w:rPr>
                <w:szCs w:val="22"/>
              </w:rPr>
              <w:t xml:space="preserve">olovica ciljev </w:t>
            </w:r>
            <w:r w:rsidR="00D8024D">
              <w:rPr>
                <w:szCs w:val="22"/>
              </w:rPr>
              <w:t>projekta</w:t>
            </w:r>
            <w:r>
              <w:rPr>
                <w:szCs w:val="22"/>
              </w:rPr>
              <w:t xml:space="preserve"> </w:t>
            </w:r>
            <w:r w:rsidR="00F55761" w:rsidRPr="00515756">
              <w:rPr>
                <w:szCs w:val="22"/>
              </w:rPr>
              <w:t>se nanaša na vsaj eno področje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D8024D">
            <w:pPr>
              <w:jc w:val="both"/>
            </w:pPr>
            <w:r w:rsidRPr="00515756">
              <w:rPr>
                <w:szCs w:val="22"/>
              </w:rPr>
              <w:t xml:space="preserve">Vsi cilji </w:t>
            </w:r>
            <w:r w:rsidR="00D8024D">
              <w:rPr>
                <w:szCs w:val="22"/>
              </w:rPr>
              <w:t xml:space="preserve">projekta </w:t>
            </w:r>
            <w:r w:rsidRPr="00515756">
              <w:rPr>
                <w:szCs w:val="22"/>
              </w:rPr>
              <w:t>se nanašajo na najmanj eno področje</w:t>
            </w:r>
          </w:p>
        </w:tc>
      </w:tr>
    </w:tbl>
    <w:p w:rsidR="00F55761" w:rsidRPr="00515756" w:rsidRDefault="00F55761" w:rsidP="00F55761">
      <w:pPr>
        <w:jc w:val="both"/>
        <w:rPr>
          <w:szCs w:val="22"/>
        </w:rPr>
      </w:pPr>
    </w:p>
    <w:p w:rsidR="00F55761" w:rsidRPr="00515756" w:rsidRDefault="00863CD9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>
        <w:rPr>
          <w:b/>
          <w:szCs w:val="22"/>
        </w:rPr>
        <w:t>projekt</w:t>
      </w:r>
      <w:r w:rsidR="00F55761" w:rsidRPr="00515756">
        <w:rPr>
          <w:b/>
          <w:szCs w:val="22"/>
        </w:rPr>
        <w:t xml:space="preserve"> se bo izvajala v javnem zavodu, ki je ustanovljen 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863CD9" w:rsidP="00863CD9">
            <w:pPr>
              <w:jc w:val="both"/>
            </w:pPr>
            <w:r>
              <w:rPr>
                <w:szCs w:val="22"/>
              </w:rPr>
              <w:t>Projekt</w:t>
            </w:r>
            <w:r w:rsidR="00F55761" w:rsidRPr="00515756">
              <w:rPr>
                <w:szCs w:val="22"/>
              </w:rPr>
              <w:t xml:space="preserve"> se ne bo izvajal v javnem zavodu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F55761" w:rsidRPr="00515756" w:rsidRDefault="00863CD9" w:rsidP="00863CD9">
            <w:pPr>
              <w:jc w:val="both"/>
            </w:pPr>
            <w:r>
              <w:rPr>
                <w:szCs w:val="22"/>
              </w:rPr>
              <w:t>Projekt</w:t>
            </w:r>
            <w:r w:rsidR="00F55761" w:rsidRPr="00515756">
              <w:rPr>
                <w:szCs w:val="22"/>
              </w:rPr>
              <w:t xml:space="preserve"> se bo izvajal v enem ali dveh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3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863CD9" w:rsidP="00863CD9">
            <w:pPr>
              <w:jc w:val="both"/>
            </w:pPr>
            <w:r>
              <w:rPr>
                <w:szCs w:val="22"/>
              </w:rPr>
              <w:t>Projekt</w:t>
            </w:r>
            <w:r w:rsidR="00F55761" w:rsidRPr="00515756">
              <w:rPr>
                <w:szCs w:val="22"/>
              </w:rPr>
              <w:t xml:space="preserve"> se bo izvajal v treh ali štirih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4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863CD9" w:rsidP="00863CD9">
            <w:pPr>
              <w:jc w:val="both"/>
            </w:pPr>
            <w:r>
              <w:rPr>
                <w:szCs w:val="22"/>
              </w:rPr>
              <w:t>Projekt</w:t>
            </w:r>
            <w:r w:rsidR="00F55761" w:rsidRPr="00515756">
              <w:rPr>
                <w:szCs w:val="22"/>
              </w:rPr>
              <w:t xml:space="preserve"> se bo izvajal v petih ali šestih javnih zavodih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863CD9" w:rsidP="00863CD9">
            <w:pPr>
              <w:jc w:val="both"/>
            </w:pPr>
            <w:r>
              <w:rPr>
                <w:szCs w:val="22"/>
              </w:rPr>
              <w:t>Projekt</w:t>
            </w:r>
            <w:r w:rsidR="00F55761" w:rsidRPr="00515756">
              <w:rPr>
                <w:szCs w:val="22"/>
              </w:rPr>
              <w:t xml:space="preserve"> se bo izvajal v sedmih ali več javnih zavodih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D8024D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>
        <w:rPr>
          <w:b/>
          <w:szCs w:val="22"/>
        </w:rPr>
        <w:t xml:space="preserve">Udeležba </w:t>
      </w:r>
      <w:r w:rsidR="00871F70" w:rsidRPr="00515756">
        <w:rPr>
          <w:b/>
          <w:szCs w:val="22"/>
        </w:rPr>
        <w:t>ciljne skupine</w:t>
      </w:r>
      <w:r w:rsidR="00F55761" w:rsidRPr="00515756">
        <w:rPr>
          <w:b/>
          <w:szCs w:val="22"/>
        </w:rPr>
        <w:t xml:space="preserve"> </w:t>
      </w:r>
      <w:r w:rsidR="00871F70" w:rsidRPr="00515756">
        <w:rPr>
          <w:b/>
          <w:szCs w:val="22"/>
        </w:rPr>
        <w:t xml:space="preserve">otrok in </w:t>
      </w:r>
      <w:r w:rsidR="00F55761" w:rsidRPr="00515756">
        <w:rPr>
          <w:b/>
          <w:szCs w:val="22"/>
        </w:rPr>
        <w:t xml:space="preserve">mladih v </w:t>
      </w:r>
      <w:r w:rsidR="00863CD9">
        <w:rPr>
          <w:b/>
          <w:szCs w:val="22"/>
        </w:rPr>
        <w:t>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8024D" w:rsidP="00D8024D">
            <w:pPr>
              <w:jc w:val="both"/>
            </w:pPr>
            <w:r>
              <w:rPr>
                <w:szCs w:val="22"/>
              </w:rPr>
              <w:t>Nabor</w:t>
            </w:r>
            <w:r w:rsidR="001E7D8B">
              <w:rPr>
                <w:szCs w:val="22"/>
              </w:rPr>
              <w:t>, sodelovanje in vključenost</w:t>
            </w:r>
            <w:r>
              <w:rPr>
                <w:szCs w:val="22"/>
              </w:rPr>
              <w:t xml:space="preserve"> ciljne skupine ne ustreza namenu, ciljem in vsebini projekta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1E7D8B" w:rsidP="00D8024D">
            <w:pPr>
              <w:jc w:val="both"/>
            </w:pPr>
            <w:r>
              <w:rPr>
                <w:szCs w:val="22"/>
              </w:rPr>
              <w:t xml:space="preserve">Nabor, sodelovanje in vključenost </w:t>
            </w:r>
            <w:r w:rsidR="00D8024D">
              <w:rPr>
                <w:szCs w:val="22"/>
              </w:rPr>
              <w:t>ciljne skupine delno ustreza namenu, ciljem in vsebini projekta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D8024D">
            <w:pPr>
              <w:jc w:val="both"/>
            </w:pPr>
            <w:r w:rsidRPr="00515756">
              <w:rPr>
                <w:szCs w:val="22"/>
              </w:rPr>
              <w:t>1</w:t>
            </w:r>
            <w:r w:rsidR="00D8024D">
              <w:rPr>
                <w:szCs w:val="22"/>
              </w:rPr>
              <w:t>5</w:t>
            </w:r>
            <w:r w:rsidRPr="00515756">
              <w:rPr>
                <w:szCs w:val="22"/>
              </w:rPr>
              <w:t xml:space="preserve"> </w:t>
            </w:r>
            <w:r w:rsidR="00F55761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F55761" w:rsidRPr="00515756" w:rsidRDefault="001E7D8B" w:rsidP="00D8024D">
            <w:pPr>
              <w:jc w:val="both"/>
            </w:pPr>
            <w:r>
              <w:rPr>
                <w:szCs w:val="22"/>
              </w:rPr>
              <w:t xml:space="preserve">Nabor, sodelovanje in vključenost </w:t>
            </w:r>
            <w:r w:rsidR="00D8024D">
              <w:rPr>
                <w:szCs w:val="22"/>
              </w:rPr>
              <w:t>ciljne skupine ustreza namenu, ciljem in vsebini projekta</w:t>
            </w:r>
          </w:p>
        </w:tc>
      </w:tr>
    </w:tbl>
    <w:p w:rsidR="00F55761" w:rsidRDefault="00F55761" w:rsidP="0030257A">
      <w:pPr>
        <w:jc w:val="both"/>
        <w:rPr>
          <w:b/>
          <w:szCs w:val="22"/>
        </w:rPr>
      </w:pPr>
    </w:p>
    <w:p w:rsidR="00D8024D" w:rsidRDefault="00D8024D" w:rsidP="0030257A">
      <w:pPr>
        <w:jc w:val="both"/>
        <w:rPr>
          <w:b/>
          <w:szCs w:val="22"/>
        </w:rPr>
      </w:pPr>
      <w:r>
        <w:rPr>
          <w:b/>
          <w:szCs w:val="22"/>
        </w:rPr>
        <w:t>Projekti, ki vključujejo otroke s posebnimi potrebami, prejmejo pri tretjem merilu dodatnih pet</w:t>
      </w:r>
      <w:r w:rsidR="0090361D">
        <w:rPr>
          <w:b/>
          <w:szCs w:val="22"/>
        </w:rPr>
        <w:t xml:space="preserve"> (5) </w:t>
      </w:r>
      <w:r>
        <w:rPr>
          <w:b/>
          <w:szCs w:val="22"/>
        </w:rPr>
        <w:t xml:space="preserve">točk. </w:t>
      </w:r>
    </w:p>
    <w:p w:rsidR="00A334DD" w:rsidRPr="00515756" w:rsidRDefault="00A334DD" w:rsidP="0030257A">
      <w:pPr>
        <w:jc w:val="both"/>
        <w:rPr>
          <w:b/>
          <w:szCs w:val="22"/>
        </w:rPr>
      </w:pPr>
    </w:p>
    <w:p w:rsidR="00F55761" w:rsidRPr="00515756" w:rsidRDefault="00871F70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sodelovanje</w:t>
      </w:r>
      <w:r w:rsidR="00F55761" w:rsidRPr="00515756">
        <w:rPr>
          <w:b/>
          <w:szCs w:val="22"/>
        </w:rPr>
        <w:t xml:space="preserve"> prostovoljcev v </w:t>
      </w:r>
      <w:r w:rsidR="00863CD9">
        <w:rPr>
          <w:b/>
          <w:szCs w:val="22"/>
        </w:rPr>
        <w:t>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863CD9">
            <w:pPr>
              <w:jc w:val="both"/>
            </w:pPr>
            <w:r w:rsidRPr="00515756">
              <w:rPr>
                <w:szCs w:val="22"/>
              </w:rPr>
              <w:t xml:space="preserve">Sodelovanje prostovoljcev v </w:t>
            </w:r>
            <w:r w:rsidR="00863CD9">
              <w:rPr>
                <w:szCs w:val="22"/>
              </w:rPr>
              <w:t>projektu</w:t>
            </w:r>
            <w:r w:rsidRPr="00515756">
              <w:rPr>
                <w:szCs w:val="22"/>
              </w:rPr>
              <w:t xml:space="preserve"> ni predvideno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</w:t>
            </w:r>
            <w:r w:rsidR="00871F70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i</w:t>
            </w:r>
          </w:p>
        </w:tc>
        <w:tc>
          <w:tcPr>
            <w:tcW w:w="7438" w:type="dxa"/>
          </w:tcPr>
          <w:p w:rsidR="00F55761" w:rsidRPr="00515756" w:rsidRDefault="00F55761" w:rsidP="00863CD9">
            <w:pPr>
              <w:jc w:val="both"/>
            </w:pPr>
            <w:r w:rsidRPr="00515756">
              <w:rPr>
                <w:szCs w:val="22"/>
              </w:rPr>
              <w:t xml:space="preserve">Sodelovanje prostovoljcev je predvideno </w:t>
            </w:r>
            <w:r w:rsidR="001560F1">
              <w:rPr>
                <w:szCs w:val="22"/>
              </w:rPr>
              <w:t xml:space="preserve">vsaj </w:t>
            </w:r>
            <w:r w:rsidRPr="00515756">
              <w:rPr>
                <w:szCs w:val="22"/>
              </w:rPr>
              <w:t xml:space="preserve">v polovici faz </w:t>
            </w:r>
            <w:r w:rsidR="00863CD9">
              <w:rPr>
                <w:szCs w:val="22"/>
              </w:rPr>
              <w:t>projekta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3</w:t>
            </w:r>
            <w:r w:rsidR="00F55761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e</w:t>
            </w:r>
          </w:p>
        </w:tc>
        <w:tc>
          <w:tcPr>
            <w:tcW w:w="7438" w:type="dxa"/>
          </w:tcPr>
          <w:p w:rsidR="00F55761" w:rsidRPr="00515756" w:rsidRDefault="00F55761" w:rsidP="00863CD9">
            <w:pPr>
              <w:jc w:val="both"/>
            </w:pPr>
            <w:r w:rsidRPr="00515756">
              <w:rPr>
                <w:szCs w:val="22"/>
              </w:rPr>
              <w:t xml:space="preserve">Sodelovanje prostovoljcev je predvideno v vseh fazah </w:t>
            </w:r>
            <w:r w:rsidR="00863CD9">
              <w:rPr>
                <w:szCs w:val="22"/>
              </w:rPr>
              <w:t>projekta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871F70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število predvidenih metod</w:t>
      </w:r>
      <w:r w:rsidR="00F55761" w:rsidRPr="00515756">
        <w:rPr>
          <w:b/>
          <w:szCs w:val="22"/>
        </w:rPr>
        <w:t xml:space="preserve"> dela glede na zastavljene cilje </w:t>
      </w:r>
      <w:r w:rsidR="00863CD9">
        <w:rPr>
          <w:b/>
          <w:szCs w:val="22"/>
        </w:rPr>
        <w:t>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metod ne zagotavlja doseganja zastavljenih ciljev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Polovica metod zagotavlja doseganje zastavljenih ciljev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metode zagotavljajo doseganje zastavljenih ciljev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ustreznost </w:t>
      </w:r>
      <w:r w:rsidR="00871F70" w:rsidRPr="00515756">
        <w:rPr>
          <w:b/>
          <w:szCs w:val="22"/>
        </w:rPr>
        <w:t xml:space="preserve">pridobljenih znanj </w:t>
      </w:r>
      <w:r w:rsidRPr="00515756">
        <w:rPr>
          <w:b/>
          <w:szCs w:val="22"/>
        </w:rPr>
        <w:t xml:space="preserve">izvajalcev </w:t>
      </w:r>
      <w:r w:rsidR="00871F70" w:rsidRPr="00515756">
        <w:rPr>
          <w:b/>
          <w:szCs w:val="22"/>
        </w:rPr>
        <w:t xml:space="preserve">za izvajanje </w:t>
      </w:r>
      <w:r w:rsidR="00863CD9">
        <w:rPr>
          <w:b/>
          <w:szCs w:val="22"/>
        </w:rPr>
        <w:t>projekta</w:t>
      </w:r>
      <w:r w:rsidRPr="00515756">
        <w:rPr>
          <w:b/>
          <w:szCs w:val="22"/>
        </w:rPr>
        <w:t xml:space="preserve"> glede na njihovo vlogo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D57DB1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izvajalcev ni strokovno usposobljen</w:t>
            </w:r>
            <w:r w:rsidR="005D6D78">
              <w:rPr>
                <w:szCs w:val="22"/>
              </w:rPr>
              <w:t>ih</w:t>
            </w:r>
            <w:r w:rsidR="00F55761" w:rsidRPr="00515756">
              <w:rPr>
                <w:szCs w:val="22"/>
              </w:rPr>
              <w:t xml:space="preserve"> za svojo vlogo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2</w:t>
            </w:r>
            <w:r w:rsidR="00871F70" w:rsidRPr="00515756">
              <w:rPr>
                <w:szCs w:val="22"/>
              </w:rPr>
              <w:t xml:space="preserve"> točk</w:t>
            </w:r>
            <w:r w:rsidRPr="00515756">
              <w:rPr>
                <w:szCs w:val="22"/>
              </w:rPr>
              <w:t>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Vsaj polovica izvajalcev je usposobljenih oz. so izvajalci delno usposobljeni za svojo vlogo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5</w:t>
            </w:r>
            <w:r w:rsidR="00F55761" w:rsidRPr="00515756">
              <w:rPr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Vsi izvajalci so usposobljeni za svojo vlogo</w:t>
            </w:r>
          </w:p>
        </w:tc>
      </w:tr>
    </w:tbl>
    <w:p w:rsidR="00F55761" w:rsidRPr="00515756" w:rsidRDefault="00F55761" w:rsidP="00F55761">
      <w:pPr>
        <w:jc w:val="both"/>
        <w:rPr>
          <w:i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število otrok, ki jim je </w:t>
      </w:r>
      <w:r w:rsidR="00863CD9">
        <w:rPr>
          <w:b/>
          <w:szCs w:val="22"/>
        </w:rPr>
        <w:t>projekt</w:t>
      </w:r>
      <w:r w:rsidRPr="00515756">
        <w:rPr>
          <w:b/>
          <w:szCs w:val="22"/>
        </w:rPr>
        <w:t xml:space="preserve"> namenjen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1 – 50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51 – 200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201 – 400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>15 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od 401 – 800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871F70" w:rsidP="00B633F6">
            <w:pPr>
              <w:jc w:val="both"/>
            </w:pPr>
            <w:r w:rsidRPr="00515756">
              <w:rPr>
                <w:szCs w:val="22"/>
              </w:rPr>
              <w:t xml:space="preserve">20 </w:t>
            </w:r>
            <w:r w:rsidR="00F55761" w:rsidRPr="00515756">
              <w:rPr>
                <w:szCs w:val="22"/>
              </w:rPr>
              <w:t>točk</w:t>
            </w:r>
          </w:p>
        </w:tc>
        <w:tc>
          <w:tcPr>
            <w:tcW w:w="7438" w:type="dxa"/>
          </w:tcPr>
          <w:p w:rsidR="00F55761" w:rsidRPr="00515756" w:rsidRDefault="00F55761" w:rsidP="00461397">
            <w:pPr>
              <w:jc w:val="both"/>
            </w:pPr>
            <w:r w:rsidRPr="00515756">
              <w:rPr>
                <w:szCs w:val="22"/>
              </w:rPr>
              <w:t xml:space="preserve">več kot 801 </w:t>
            </w:r>
          </w:p>
        </w:tc>
      </w:tr>
    </w:tbl>
    <w:p w:rsidR="00F55761" w:rsidRPr="004011D4" w:rsidRDefault="00F55761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  <w:r w:rsidRPr="00515756">
        <w:rPr>
          <w:b/>
          <w:szCs w:val="22"/>
          <w:u w:val="single"/>
        </w:rPr>
        <w:t>FINANCE:</w:t>
      </w:r>
    </w:p>
    <w:p w:rsidR="00F55761" w:rsidRPr="00515756" w:rsidRDefault="00F55761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raznolikost virov financiranja </w:t>
      </w:r>
      <w:r w:rsidR="00863CD9">
        <w:rPr>
          <w:b/>
          <w:szCs w:val="22"/>
        </w:rPr>
        <w:t>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 točka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 en sofinancer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2 točki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Predvidena sta dva sofinancerja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 so trije sofinancerji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4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 so štirje sofinancerji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Predvidenih je pet ali več sofinancerjev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>razvidnost namena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D57DB1" w:rsidP="005D6D78">
            <w:pPr>
              <w:jc w:val="both"/>
            </w:pPr>
            <w:r>
              <w:rPr>
                <w:szCs w:val="22"/>
              </w:rPr>
              <w:t>Manj kot polovica</w:t>
            </w:r>
            <w:r w:rsidR="00F55761" w:rsidRPr="00515756">
              <w:rPr>
                <w:szCs w:val="22"/>
              </w:rPr>
              <w:t xml:space="preserve"> posameznih postavk ni pregledn</w:t>
            </w:r>
            <w:r w:rsidR="005D6D78">
              <w:rPr>
                <w:szCs w:val="22"/>
              </w:rPr>
              <w:t>ih</w:t>
            </w:r>
            <w:r w:rsidR="00F55761" w:rsidRPr="00515756">
              <w:rPr>
                <w:szCs w:val="22"/>
              </w:rPr>
              <w:t xml:space="preserve"> in jasn</w:t>
            </w:r>
            <w:r w:rsidR="005D6D78">
              <w:rPr>
                <w:szCs w:val="22"/>
              </w:rPr>
              <w:t>ih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3 točke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Polovica posameznih postavk odhodkov je pregledna in jasna/vse posamezne postavke so samo delno  pregledne in jasne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posamezne postavke odhodkov so pregledne in jasne</w:t>
            </w:r>
          </w:p>
        </w:tc>
      </w:tr>
    </w:tbl>
    <w:p w:rsidR="00F55761" w:rsidRPr="00515756" w:rsidRDefault="00F55761" w:rsidP="00F55761">
      <w:pPr>
        <w:jc w:val="both"/>
        <w:rPr>
          <w:szCs w:val="22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realnost ocenjene vrednosti finančnih postavk </w:t>
      </w:r>
      <w:r w:rsidR="00937173">
        <w:rPr>
          <w:b/>
          <w:szCs w:val="22"/>
        </w:rPr>
        <w:t>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finančne postavke so ocenjene izrazito preveč ali premalo glede na vsebino posameznih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Posamezne finančne postavke so ocenjene realno glede na vsebino posameznih aktivnosti</w:t>
            </w:r>
          </w:p>
        </w:tc>
      </w:tr>
    </w:tbl>
    <w:p w:rsidR="00F55761" w:rsidRPr="00515756" w:rsidRDefault="00F55761" w:rsidP="00F55761">
      <w:pPr>
        <w:jc w:val="both"/>
        <w:rPr>
          <w:b/>
          <w:szCs w:val="22"/>
          <w:u w:val="single"/>
        </w:rPr>
      </w:pPr>
    </w:p>
    <w:p w:rsidR="00F55761" w:rsidRPr="00515756" w:rsidRDefault="00F55761" w:rsidP="00F55761">
      <w:pPr>
        <w:numPr>
          <w:ilvl w:val="1"/>
          <w:numId w:val="1"/>
        </w:numPr>
        <w:tabs>
          <w:tab w:val="clear" w:pos="579"/>
          <w:tab w:val="num" w:pos="399"/>
        </w:tabs>
        <w:ind w:left="399"/>
        <w:jc w:val="both"/>
        <w:rPr>
          <w:b/>
          <w:szCs w:val="22"/>
        </w:rPr>
      </w:pPr>
      <w:r w:rsidRPr="00515756">
        <w:rPr>
          <w:b/>
          <w:szCs w:val="22"/>
        </w:rPr>
        <w:t xml:space="preserve">finančna dostopnost </w:t>
      </w:r>
      <w:r w:rsidR="00937173">
        <w:rPr>
          <w:b/>
          <w:szCs w:val="22"/>
        </w:rPr>
        <w:t>projekta</w:t>
      </w:r>
      <w:r w:rsidRPr="00515756">
        <w:rPr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55761" w:rsidRPr="00515756" w:rsidTr="00B633F6">
        <w:tc>
          <w:tcPr>
            <w:tcW w:w="1008" w:type="dxa"/>
          </w:tcPr>
          <w:p w:rsidR="00F55761" w:rsidRPr="00515756" w:rsidRDefault="00B633F6" w:rsidP="00B633F6">
            <w:pPr>
              <w:jc w:val="both"/>
            </w:pPr>
            <w:r w:rsidRPr="00515756">
              <w:rPr>
                <w:szCs w:val="22"/>
              </w:rPr>
              <w:t>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Udelež</w:t>
            </w:r>
            <w:r w:rsidR="00B633F6" w:rsidRPr="00515756">
              <w:rPr>
                <w:szCs w:val="22"/>
              </w:rPr>
              <w:t>enci morajo prispevati več kot 2</w:t>
            </w:r>
            <w:r w:rsidRPr="00515756">
              <w:rPr>
                <w:szCs w:val="22"/>
              </w:rPr>
              <w:t xml:space="preserve"> € na dan</w:t>
            </w:r>
            <w:r w:rsidR="00D8024D">
              <w:rPr>
                <w:szCs w:val="22"/>
              </w:rPr>
              <w:t xml:space="preserve">.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5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1,01 in"/>
              </w:smartTagPr>
              <w:r w:rsidRPr="00515756">
                <w:rPr>
                  <w:szCs w:val="22"/>
                </w:rPr>
                <w:t>1,01 in</w:t>
              </w:r>
            </w:smartTag>
            <w:r w:rsidRPr="00515756">
              <w:rPr>
                <w:szCs w:val="22"/>
              </w:rPr>
              <w:t xml:space="preserve"> 2 € na dan, njihov prispevek pa je argumentiran 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7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Udeleženci morajo prispevati povprečno do 1 € na dan, njihov prispevek pa je argumentiran</w:t>
            </w:r>
          </w:p>
        </w:tc>
      </w:tr>
      <w:tr w:rsidR="00F55761" w:rsidRPr="00515756" w:rsidTr="00B633F6">
        <w:tc>
          <w:tcPr>
            <w:tcW w:w="100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10 točk</w:t>
            </w:r>
          </w:p>
        </w:tc>
        <w:tc>
          <w:tcPr>
            <w:tcW w:w="7438" w:type="dxa"/>
          </w:tcPr>
          <w:p w:rsidR="00F55761" w:rsidRPr="00515756" w:rsidRDefault="00F55761" w:rsidP="00B633F6">
            <w:pPr>
              <w:jc w:val="both"/>
            </w:pPr>
            <w:r w:rsidRPr="00515756">
              <w:rPr>
                <w:szCs w:val="22"/>
              </w:rPr>
              <w:t>Vse aktivnosti so brezplačne za vse udeležence</w:t>
            </w:r>
          </w:p>
        </w:tc>
      </w:tr>
    </w:tbl>
    <w:p w:rsidR="00F55761" w:rsidRPr="004011D4" w:rsidRDefault="00F55761" w:rsidP="00F55761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F55761" w:rsidRPr="004011D4" w:rsidRDefault="00F55761" w:rsidP="00F55761">
      <w:pPr>
        <w:ind w:left="-42"/>
        <w:rPr>
          <w:rStyle w:val="HTMLMarkup"/>
          <w:vanish w:val="0"/>
          <w:color w:val="000000"/>
          <w:szCs w:val="22"/>
        </w:rPr>
      </w:pPr>
      <w:r w:rsidRPr="004011D4">
        <w:rPr>
          <w:b/>
          <w:szCs w:val="22"/>
        </w:rPr>
        <w:t xml:space="preserve">Pogoja za sofinanciranje </w:t>
      </w:r>
      <w:r w:rsidR="00863CD9">
        <w:rPr>
          <w:rStyle w:val="HTMLMarkup"/>
          <w:b/>
          <w:vanish w:val="0"/>
          <w:color w:val="000000"/>
          <w:szCs w:val="22"/>
        </w:rPr>
        <w:t xml:space="preserve">projektov </w:t>
      </w:r>
      <w:r w:rsidRPr="004011D4">
        <w:rPr>
          <w:rStyle w:val="HTMLMarkup"/>
          <w:b/>
          <w:vanish w:val="0"/>
          <w:color w:val="000000"/>
          <w:szCs w:val="22"/>
        </w:rPr>
        <w:t>za otroke v letu 2013 sta</w:t>
      </w:r>
      <w:r w:rsidRPr="004011D4">
        <w:rPr>
          <w:rStyle w:val="HTMLMarkup"/>
          <w:vanish w:val="0"/>
          <w:color w:val="000000"/>
          <w:szCs w:val="22"/>
        </w:rPr>
        <w:t>:</w:t>
      </w:r>
    </w:p>
    <w:p w:rsidR="00F55761" w:rsidRPr="004011D4" w:rsidRDefault="00880243" w:rsidP="00F55761">
      <w:pPr>
        <w:pStyle w:val="Blockquote"/>
        <w:numPr>
          <w:ilvl w:val="1"/>
          <w:numId w:val="2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 xml:space="preserve">pridobitev najmanj </w:t>
      </w:r>
      <w:r w:rsidR="00863CD9">
        <w:rPr>
          <w:rStyle w:val="HTMLMarkup"/>
          <w:vanish w:val="0"/>
          <w:color w:val="000000"/>
          <w:sz w:val="22"/>
          <w:szCs w:val="22"/>
        </w:rPr>
        <w:t>6</w:t>
      </w:r>
      <w:r w:rsidR="00880039">
        <w:rPr>
          <w:rStyle w:val="HTMLMarkup"/>
          <w:vanish w:val="0"/>
          <w:color w:val="000000"/>
          <w:sz w:val="22"/>
          <w:szCs w:val="22"/>
        </w:rPr>
        <w:t>5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skupnih točk </w:t>
      </w:r>
      <w:r w:rsidR="00F55761" w:rsidRPr="004011D4">
        <w:rPr>
          <w:sz w:val="22"/>
          <w:szCs w:val="22"/>
        </w:rPr>
        <w:t>v okviru meril in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</w:t>
      </w:r>
    </w:p>
    <w:p w:rsidR="00F55761" w:rsidRPr="004011D4" w:rsidRDefault="00880243" w:rsidP="00F55761">
      <w:pPr>
        <w:pStyle w:val="Blockquote"/>
        <w:numPr>
          <w:ilvl w:val="1"/>
          <w:numId w:val="2"/>
        </w:numPr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  <w:r w:rsidRPr="004011D4">
        <w:rPr>
          <w:rStyle w:val="HTMLMarkup"/>
          <w:vanish w:val="0"/>
          <w:color w:val="000000"/>
          <w:sz w:val="22"/>
          <w:szCs w:val="22"/>
        </w:rPr>
        <w:t xml:space="preserve">pridobitev najmanj 1 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točke </w:t>
      </w:r>
      <w:r w:rsidRPr="004011D4">
        <w:rPr>
          <w:rStyle w:val="HTMLMarkup"/>
          <w:vanish w:val="0"/>
          <w:color w:val="000000"/>
          <w:sz w:val="22"/>
          <w:szCs w:val="22"/>
        </w:rPr>
        <w:t xml:space="preserve">pri kriteriju 2,4,7 in 8, 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2 točki pri kriteriju 6, 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>oz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>.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3 točk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>e</w:t>
      </w:r>
      <w:r w:rsidR="00F55761" w:rsidRPr="004011D4">
        <w:rPr>
          <w:rStyle w:val="HTMLMarkup"/>
          <w:vanish w:val="0"/>
          <w:color w:val="000000"/>
          <w:sz w:val="22"/>
          <w:szCs w:val="22"/>
        </w:rPr>
        <w:t xml:space="preserve"> pri</w:t>
      </w:r>
      <w:r w:rsidR="00125A60" w:rsidRPr="004011D4">
        <w:rPr>
          <w:rStyle w:val="HTMLMarkup"/>
          <w:vanish w:val="0"/>
          <w:color w:val="000000"/>
          <w:sz w:val="22"/>
          <w:szCs w:val="22"/>
        </w:rPr>
        <w:t xml:space="preserve"> kriteriju 9, 5 točk pri kriteriju 3,5,10 in 11, in 10 točk pri kriteriju 1.</w:t>
      </w:r>
    </w:p>
    <w:p w:rsidR="00125A60" w:rsidRPr="004011D4" w:rsidRDefault="00125A60" w:rsidP="00125A60">
      <w:pPr>
        <w:pStyle w:val="Blockquote"/>
        <w:tabs>
          <w:tab w:val="left" w:pos="643"/>
        </w:tabs>
        <w:spacing w:before="0" w:after="0"/>
        <w:ind w:left="144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F55761" w:rsidRDefault="00F55761" w:rsidP="00F55761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  <w:r w:rsidRPr="004011D4">
        <w:rPr>
          <w:rStyle w:val="HTMLMarkup"/>
          <w:vanish w:val="0"/>
          <w:color w:val="auto"/>
          <w:sz w:val="22"/>
          <w:szCs w:val="22"/>
        </w:rPr>
        <w:t>V kolikor vlagatelj izpolnjuje zgornja dva pogoja, bo v</w:t>
      </w:r>
      <w:r w:rsidRPr="004011D4">
        <w:rPr>
          <w:sz w:val="22"/>
          <w:szCs w:val="22"/>
        </w:rPr>
        <w:t>išina sofinanciranja odvisna od prejetih točk in števila vlagateljev, predvidoma pa po naslednjem ključu:</w:t>
      </w:r>
    </w:p>
    <w:p w:rsidR="00831AB1" w:rsidRDefault="00831AB1" w:rsidP="00F55761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1951"/>
        <w:gridCol w:w="7261"/>
      </w:tblGrid>
      <w:tr w:rsidR="00831AB1" w:rsidTr="00863CD9">
        <w:tc>
          <w:tcPr>
            <w:tcW w:w="1951" w:type="dxa"/>
          </w:tcPr>
          <w:p w:rsidR="00831AB1" w:rsidRDefault="00831AB1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 w:rsidRPr="004011D4">
              <w:rPr>
                <w:b/>
                <w:szCs w:val="22"/>
              </w:rPr>
              <w:t>Št. zbranih točk</w:t>
            </w:r>
          </w:p>
        </w:tc>
        <w:tc>
          <w:tcPr>
            <w:tcW w:w="7261" w:type="dxa"/>
          </w:tcPr>
          <w:p w:rsidR="00831AB1" w:rsidRDefault="00831AB1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 w:rsidRPr="004011D4">
              <w:rPr>
                <w:b/>
                <w:szCs w:val="22"/>
              </w:rPr>
              <w:t xml:space="preserve">Predviden odstotek sofinanciranja od višine sredstev, ki jih vlagatelj pričakuje s strani </w:t>
            </w:r>
            <w:r>
              <w:rPr>
                <w:b/>
                <w:szCs w:val="22"/>
              </w:rPr>
              <w:t>MOL</w:t>
            </w:r>
          </w:p>
        </w:tc>
      </w:tr>
      <w:tr w:rsidR="00831AB1" w:rsidTr="00863CD9">
        <w:tc>
          <w:tcPr>
            <w:tcW w:w="1951" w:type="dxa"/>
          </w:tcPr>
          <w:p w:rsidR="00831AB1" w:rsidRDefault="00831AB1" w:rsidP="00880039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00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-8</w:t>
            </w:r>
            <w:r w:rsidR="00880039">
              <w:rPr>
                <w:sz w:val="22"/>
                <w:szCs w:val="22"/>
              </w:rPr>
              <w:t>0</w:t>
            </w:r>
          </w:p>
        </w:tc>
        <w:tc>
          <w:tcPr>
            <w:tcW w:w="7261" w:type="dxa"/>
          </w:tcPr>
          <w:p w:rsidR="00831AB1" w:rsidRDefault="00863CD9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31AB1" w:rsidTr="00863CD9">
        <w:tc>
          <w:tcPr>
            <w:tcW w:w="1951" w:type="dxa"/>
          </w:tcPr>
          <w:p w:rsidR="00831AB1" w:rsidRDefault="00831AB1" w:rsidP="00880039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00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r w:rsidR="00863CD9">
              <w:rPr>
                <w:sz w:val="22"/>
                <w:szCs w:val="22"/>
              </w:rPr>
              <w:t>94</w:t>
            </w:r>
          </w:p>
        </w:tc>
        <w:tc>
          <w:tcPr>
            <w:tcW w:w="7261" w:type="dxa"/>
          </w:tcPr>
          <w:p w:rsidR="00831AB1" w:rsidRDefault="00863CD9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831AB1" w:rsidTr="00863CD9">
        <w:tc>
          <w:tcPr>
            <w:tcW w:w="1951" w:type="dxa"/>
          </w:tcPr>
          <w:p w:rsidR="00831AB1" w:rsidRDefault="00863CD9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in več</w:t>
            </w:r>
          </w:p>
        </w:tc>
        <w:tc>
          <w:tcPr>
            <w:tcW w:w="7261" w:type="dxa"/>
          </w:tcPr>
          <w:p w:rsidR="00831AB1" w:rsidRDefault="00863CD9" w:rsidP="00F55761">
            <w:pPr>
              <w:pStyle w:val="Blockquote"/>
              <w:tabs>
                <w:tab w:val="left" w:pos="643"/>
              </w:tabs>
              <w:spacing w:before="0" w:after="0"/>
              <w:ind w:left="0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31AB1" w:rsidRDefault="00831AB1" w:rsidP="00863CD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sz w:val="22"/>
          <w:szCs w:val="22"/>
        </w:rPr>
      </w:pPr>
    </w:p>
    <w:sectPr w:rsidR="00831AB1" w:rsidSect="00267D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CC" w:rsidRDefault="003252CC" w:rsidP="0027735D">
      <w:r>
        <w:separator/>
      </w:r>
    </w:p>
  </w:endnote>
  <w:endnote w:type="continuationSeparator" w:id="0">
    <w:p w:rsidR="003252CC" w:rsidRDefault="003252CC" w:rsidP="0027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938"/>
      <w:docPartObj>
        <w:docPartGallery w:val="Page Numbers (Bottom of Page)"/>
        <w:docPartUnique/>
      </w:docPartObj>
    </w:sdtPr>
    <w:sdtContent>
      <w:p w:rsidR="00D57DB1" w:rsidRDefault="00C96A76">
        <w:pPr>
          <w:pStyle w:val="Noga"/>
          <w:jc w:val="center"/>
        </w:pPr>
        <w:fldSimple w:instr=" PAGE   \* MERGEFORMAT ">
          <w:r w:rsidR="001E7D8B">
            <w:rPr>
              <w:noProof/>
            </w:rPr>
            <w:t>1</w:t>
          </w:r>
        </w:fldSimple>
      </w:p>
    </w:sdtContent>
  </w:sdt>
  <w:p w:rsidR="00D57DB1" w:rsidRDefault="00D57DB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CC" w:rsidRDefault="003252CC" w:rsidP="0027735D">
      <w:r>
        <w:separator/>
      </w:r>
    </w:p>
  </w:footnote>
  <w:footnote w:type="continuationSeparator" w:id="0">
    <w:p w:rsidR="003252CC" w:rsidRDefault="003252CC" w:rsidP="0027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7247"/>
    <w:multiLevelType w:val="hybridMultilevel"/>
    <w:tmpl w:val="D65C2B00"/>
    <w:lvl w:ilvl="0" w:tplc="970C4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AF4"/>
    <w:multiLevelType w:val="hybridMultilevel"/>
    <w:tmpl w:val="BDA28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101B"/>
    <w:multiLevelType w:val="hybridMultilevel"/>
    <w:tmpl w:val="C29C6C2C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183C1A"/>
    <w:multiLevelType w:val="hybridMultilevel"/>
    <w:tmpl w:val="40148A9C"/>
    <w:lvl w:ilvl="0" w:tplc="9A0EB40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F0C25"/>
    <w:multiLevelType w:val="hybridMultilevel"/>
    <w:tmpl w:val="77DEE06A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34F760F"/>
    <w:multiLevelType w:val="hybridMultilevel"/>
    <w:tmpl w:val="D252527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95118E"/>
    <w:multiLevelType w:val="hybridMultilevel"/>
    <w:tmpl w:val="854C47F8"/>
    <w:lvl w:ilvl="0" w:tplc="2DA22B6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5A2F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FB647AC"/>
    <w:multiLevelType w:val="hybridMultilevel"/>
    <w:tmpl w:val="EDA47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93598"/>
    <w:multiLevelType w:val="hybridMultilevel"/>
    <w:tmpl w:val="346A2200"/>
    <w:lvl w:ilvl="0" w:tplc="A1DCE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1589"/>
    <w:multiLevelType w:val="hybridMultilevel"/>
    <w:tmpl w:val="58784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42A7"/>
    <w:multiLevelType w:val="hybridMultilevel"/>
    <w:tmpl w:val="641E6480"/>
    <w:lvl w:ilvl="0" w:tplc="9D7AF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14FC"/>
    <w:multiLevelType w:val="hybridMultilevel"/>
    <w:tmpl w:val="495E01CE"/>
    <w:lvl w:ilvl="0" w:tplc="770C8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3586A08"/>
    <w:multiLevelType w:val="hybridMultilevel"/>
    <w:tmpl w:val="EED63682"/>
    <w:lvl w:ilvl="0" w:tplc="786A1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95711"/>
    <w:multiLevelType w:val="hybridMultilevel"/>
    <w:tmpl w:val="245407FC"/>
    <w:lvl w:ilvl="0" w:tplc="38A694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A6B9D"/>
    <w:multiLevelType w:val="hybridMultilevel"/>
    <w:tmpl w:val="699629FE"/>
    <w:lvl w:ilvl="0" w:tplc="8354B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7508B"/>
    <w:multiLevelType w:val="hybridMultilevel"/>
    <w:tmpl w:val="261ECAA6"/>
    <w:lvl w:ilvl="0" w:tplc="8E748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17D8"/>
    <w:multiLevelType w:val="hybridMultilevel"/>
    <w:tmpl w:val="992A83A2"/>
    <w:lvl w:ilvl="0" w:tplc="BE380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B2DA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0D70962"/>
    <w:multiLevelType w:val="hybridMultilevel"/>
    <w:tmpl w:val="21DA2FCE"/>
    <w:lvl w:ilvl="0" w:tplc="C220F9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A55AF"/>
    <w:multiLevelType w:val="hybridMultilevel"/>
    <w:tmpl w:val="C79C505C"/>
    <w:lvl w:ilvl="0" w:tplc="A6B6134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770F9"/>
    <w:multiLevelType w:val="hybridMultilevel"/>
    <w:tmpl w:val="8056F0A6"/>
    <w:lvl w:ilvl="0" w:tplc="E0B89D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A48F9"/>
    <w:multiLevelType w:val="hybridMultilevel"/>
    <w:tmpl w:val="E95E51A0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873885"/>
    <w:multiLevelType w:val="hybridMultilevel"/>
    <w:tmpl w:val="5650CEFA"/>
    <w:lvl w:ilvl="0" w:tplc="62FA6D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A971444"/>
    <w:multiLevelType w:val="hybridMultilevel"/>
    <w:tmpl w:val="A704D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9378F"/>
    <w:multiLevelType w:val="hybridMultilevel"/>
    <w:tmpl w:val="704C71BE"/>
    <w:lvl w:ilvl="0" w:tplc="A9E427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BD220CD"/>
    <w:multiLevelType w:val="hybridMultilevel"/>
    <w:tmpl w:val="ECF65B08"/>
    <w:lvl w:ilvl="0" w:tplc="495487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F5A0D"/>
    <w:multiLevelType w:val="hybridMultilevel"/>
    <w:tmpl w:val="E9D667F2"/>
    <w:lvl w:ilvl="0" w:tplc="4E744B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D0216"/>
    <w:multiLevelType w:val="hybridMultilevel"/>
    <w:tmpl w:val="8DFC843A"/>
    <w:lvl w:ilvl="0" w:tplc="3D3C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F0D3B"/>
    <w:multiLevelType w:val="hybridMultilevel"/>
    <w:tmpl w:val="D42888B0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EA412B"/>
    <w:multiLevelType w:val="hybridMultilevel"/>
    <w:tmpl w:val="7F9AA2AE"/>
    <w:lvl w:ilvl="0" w:tplc="9E7CA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035CF"/>
    <w:multiLevelType w:val="hybridMultilevel"/>
    <w:tmpl w:val="BDA28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24"/>
  </w:num>
  <w:num w:numId="5">
    <w:abstractNumId w:val="35"/>
  </w:num>
  <w:num w:numId="6">
    <w:abstractNumId w:val="7"/>
  </w:num>
  <w:num w:numId="7">
    <w:abstractNumId w:val="6"/>
  </w:num>
  <w:num w:numId="8">
    <w:abstractNumId w:val="17"/>
  </w:num>
  <w:num w:numId="9">
    <w:abstractNumId w:val="27"/>
  </w:num>
  <w:num w:numId="10">
    <w:abstractNumId w:val="28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22"/>
  </w:num>
  <w:num w:numId="16">
    <w:abstractNumId w:val="26"/>
  </w:num>
  <w:num w:numId="17">
    <w:abstractNumId w:val="12"/>
  </w:num>
  <w:num w:numId="18">
    <w:abstractNumId w:val="34"/>
  </w:num>
  <w:num w:numId="19">
    <w:abstractNumId w:val="3"/>
  </w:num>
  <w:num w:numId="20">
    <w:abstractNumId w:val="36"/>
  </w:num>
  <w:num w:numId="21">
    <w:abstractNumId w:val="9"/>
  </w:num>
  <w:num w:numId="22">
    <w:abstractNumId w:val="31"/>
  </w:num>
  <w:num w:numId="23">
    <w:abstractNumId w:val="2"/>
  </w:num>
  <w:num w:numId="24">
    <w:abstractNumId w:val="29"/>
  </w:num>
  <w:num w:numId="25">
    <w:abstractNumId w:val="18"/>
  </w:num>
  <w:num w:numId="26">
    <w:abstractNumId w:val="32"/>
  </w:num>
  <w:num w:numId="27">
    <w:abstractNumId w:val="13"/>
  </w:num>
  <w:num w:numId="28">
    <w:abstractNumId w:val="16"/>
  </w:num>
  <w:num w:numId="29">
    <w:abstractNumId w:val="20"/>
  </w:num>
  <w:num w:numId="30">
    <w:abstractNumId w:val="1"/>
  </w:num>
  <w:num w:numId="31">
    <w:abstractNumId w:val="19"/>
  </w:num>
  <w:num w:numId="32">
    <w:abstractNumId w:val="25"/>
  </w:num>
  <w:num w:numId="33">
    <w:abstractNumId w:val="11"/>
  </w:num>
  <w:num w:numId="34">
    <w:abstractNumId w:val="23"/>
  </w:num>
  <w:num w:numId="35">
    <w:abstractNumId w:val="14"/>
  </w:num>
  <w:num w:numId="36">
    <w:abstractNumId w:val="2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56"/>
    <w:rsid w:val="00002B07"/>
    <w:rsid w:val="00006B32"/>
    <w:rsid w:val="000322D7"/>
    <w:rsid w:val="00094031"/>
    <w:rsid w:val="000A1D40"/>
    <w:rsid w:val="00103599"/>
    <w:rsid w:val="00111534"/>
    <w:rsid w:val="00125A60"/>
    <w:rsid w:val="00136A7F"/>
    <w:rsid w:val="001560F1"/>
    <w:rsid w:val="001A0D7D"/>
    <w:rsid w:val="001D72C5"/>
    <w:rsid w:val="001E4057"/>
    <w:rsid w:val="001E7D8B"/>
    <w:rsid w:val="00241BD8"/>
    <w:rsid w:val="00246165"/>
    <w:rsid w:val="00256A5F"/>
    <w:rsid w:val="002663F1"/>
    <w:rsid w:val="00267D21"/>
    <w:rsid w:val="0027735D"/>
    <w:rsid w:val="002B2A7F"/>
    <w:rsid w:val="0030257A"/>
    <w:rsid w:val="00302F25"/>
    <w:rsid w:val="00312156"/>
    <w:rsid w:val="003252CC"/>
    <w:rsid w:val="0034443E"/>
    <w:rsid w:val="00345A74"/>
    <w:rsid w:val="00364959"/>
    <w:rsid w:val="003C71AB"/>
    <w:rsid w:val="004011D4"/>
    <w:rsid w:val="004015A8"/>
    <w:rsid w:val="00422BA1"/>
    <w:rsid w:val="004415F0"/>
    <w:rsid w:val="00461397"/>
    <w:rsid w:val="00462E07"/>
    <w:rsid w:val="004E0C54"/>
    <w:rsid w:val="004F0A14"/>
    <w:rsid w:val="00515756"/>
    <w:rsid w:val="00532508"/>
    <w:rsid w:val="005634A2"/>
    <w:rsid w:val="005967B9"/>
    <w:rsid w:val="005D6D78"/>
    <w:rsid w:val="00621FEA"/>
    <w:rsid w:val="00633C79"/>
    <w:rsid w:val="006366A8"/>
    <w:rsid w:val="0065368D"/>
    <w:rsid w:val="0068455A"/>
    <w:rsid w:val="006902B2"/>
    <w:rsid w:val="006D5B29"/>
    <w:rsid w:val="006F4A8A"/>
    <w:rsid w:val="00701245"/>
    <w:rsid w:val="00716944"/>
    <w:rsid w:val="007608C3"/>
    <w:rsid w:val="00780BEE"/>
    <w:rsid w:val="0078204B"/>
    <w:rsid w:val="007902A1"/>
    <w:rsid w:val="00791F91"/>
    <w:rsid w:val="007C3E59"/>
    <w:rsid w:val="007F2BF6"/>
    <w:rsid w:val="00831AB1"/>
    <w:rsid w:val="00863CD9"/>
    <w:rsid w:val="00871F70"/>
    <w:rsid w:val="00880039"/>
    <w:rsid w:val="00880243"/>
    <w:rsid w:val="008841B5"/>
    <w:rsid w:val="008D5F05"/>
    <w:rsid w:val="008F0AC4"/>
    <w:rsid w:val="0090361D"/>
    <w:rsid w:val="00933515"/>
    <w:rsid w:val="00937173"/>
    <w:rsid w:val="009429DD"/>
    <w:rsid w:val="00973299"/>
    <w:rsid w:val="00976719"/>
    <w:rsid w:val="00A057E8"/>
    <w:rsid w:val="00A334DD"/>
    <w:rsid w:val="00AB215C"/>
    <w:rsid w:val="00AB69EB"/>
    <w:rsid w:val="00AD72AF"/>
    <w:rsid w:val="00AD79C4"/>
    <w:rsid w:val="00B438BF"/>
    <w:rsid w:val="00B4631E"/>
    <w:rsid w:val="00B46E36"/>
    <w:rsid w:val="00B633F6"/>
    <w:rsid w:val="00B84875"/>
    <w:rsid w:val="00BB7823"/>
    <w:rsid w:val="00BE6F89"/>
    <w:rsid w:val="00C07386"/>
    <w:rsid w:val="00C22768"/>
    <w:rsid w:val="00C40913"/>
    <w:rsid w:val="00C96A76"/>
    <w:rsid w:val="00CA1EF1"/>
    <w:rsid w:val="00CE7FE6"/>
    <w:rsid w:val="00CF3AC5"/>
    <w:rsid w:val="00D34850"/>
    <w:rsid w:val="00D4782D"/>
    <w:rsid w:val="00D57DB1"/>
    <w:rsid w:val="00D67A4E"/>
    <w:rsid w:val="00D8024D"/>
    <w:rsid w:val="00DC5036"/>
    <w:rsid w:val="00DC740D"/>
    <w:rsid w:val="00DD2E46"/>
    <w:rsid w:val="00DD7F99"/>
    <w:rsid w:val="00DF3DD7"/>
    <w:rsid w:val="00E678E7"/>
    <w:rsid w:val="00ED6140"/>
    <w:rsid w:val="00EE30F4"/>
    <w:rsid w:val="00F20CCB"/>
    <w:rsid w:val="00F55761"/>
    <w:rsid w:val="00F92FD7"/>
    <w:rsid w:val="00FC0EA2"/>
    <w:rsid w:val="00FE0A66"/>
    <w:rsid w:val="00FE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F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2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Markup">
    <w:name w:val="HTML Markup"/>
    <w:rsid w:val="00C22768"/>
    <w:rPr>
      <w:vanish/>
      <w:color w:val="FF0000"/>
    </w:rPr>
  </w:style>
  <w:style w:type="character" w:customStyle="1" w:styleId="Krepko1">
    <w:name w:val="Krepko1"/>
    <w:basedOn w:val="Privzetapisavaodstavka"/>
    <w:rsid w:val="00C22768"/>
    <w:rPr>
      <w:b/>
    </w:rPr>
  </w:style>
  <w:style w:type="paragraph" w:styleId="Telobesedila">
    <w:name w:val="Body Text"/>
    <w:basedOn w:val="Navaden"/>
    <w:link w:val="TelobesedilaZnak"/>
    <w:rsid w:val="00C22768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27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7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7E8"/>
    <w:rPr>
      <w:rFonts w:ascii="Tahoma" w:eastAsia="Times New Roman" w:hAnsi="Tahoma" w:cs="Tahoma"/>
      <w:sz w:val="16"/>
      <w:szCs w:val="16"/>
    </w:rPr>
  </w:style>
  <w:style w:type="paragraph" w:customStyle="1" w:styleId="Blockquote">
    <w:name w:val="Blockquote"/>
    <w:basedOn w:val="Navaden"/>
    <w:rsid w:val="00F55761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25A60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345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45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mrea">
    <w:name w:val="Table Grid"/>
    <w:basedOn w:val="Navadnatabela"/>
    <w:uiPriority w:val="59"/>
    <w:rsid w:val="0040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semiHidden/>
    <w:unhideWhenUsed/>
    <w:rsid w:val="004F0A1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F0A14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F0A14"/>
    <w:rPr>
      <w:rFonts w:ascii="Times New Roman" w:eastAsia="Times New Roman" w:hAnsi="Times New Roman" w:cs="Times New Roman"/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F0A1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F0A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F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2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Markup">
    <w:name w:val="HTML Markup"/>
    <w:rsid w:val="00C22768"/>
    <w:rPr>
      <w:vanish/>
      <w:color w:val="FF0000"/>
    </w:rPr>
  </w:style>
  <w:style w:type="character" w:customStyle="1" w:styleId="Krepko1">
    <w:name w:val="Krepko1"/>
    <w:basedOn w:val="Privzetapisavaodstavka"/>
    <w:rsid w:val="00C22768"/>
    <w:rPr>
      <w:b/>
    </w:rPr>
  </w:style>
  <w:style w:type="paragraph" w:styleId="Telobesedila">
    <w:name w:val="Body Text"/>
    <w:basedOn w:val="Navaden"/>
    <w:link w:val="TelobesedilaZnak"/>
    <w:rsid w:val="00C22768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27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2773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35D"/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7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7E8"/>
    <w:rPr>
      <w:rFonts w:ascii="Tahoma" w:eastAsia="Times New Roman" w:hAnsi="Tahoma" w:cs="Tahoma"/>
      <w:sz w:val="16"/>
      <w:szCs w:val="16"/>
    </w:rPr>
  </w:style>
  <w:style w:type="paragraph" w:customStyle="1" w:styleId="Blockquote">
    <w:name w:val="Blockquote"/>
    <w:basedOn w:val="Navaden"/>
    <w:rsid w:val="00F55761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25A60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345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45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7652-899F-4B76-9E02-54DB5EBA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10</cp:revision>
  <cp:lastPrinted>2013-03-06T08:02:00Z</cp:lastPrinted>
  <dcterms:created xsi:type="dcterms:W3CDTF">2013-03-06T06:40:00Z</dcterms:created>
  <dcterms:modified xsi:type="dcterms:W3CDTF">2013-03-06T16:06:00Z</dcterms:modified>
</cp:coreProperties>
</file>