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BC" w:rsidRDefault="00365CBC" w:rsidP="00365CBC">
      <w:pPr>
        <w:jc w:val="right"/>
      </w:pPr>
      <w:r>
        <w:t>OSNUTEK</w:t>
      </w:r>
    </w:p>
    <w:p w:rsidR="00365CBC" w:rsidRPr="00B43331" w:rsidRDefault="00365CBC" w:rsidP="00365CBC">
      <w:pPr>
        <w:jc w:val="both"/>
      </w:pPr>
      <w:r w:rsidRPr="00B43331">
        <w:t xml:space="preserve">Na podlagi </w:t>
      </w:r>
      <w:r>
        <w:t xml:space="preserve">13. </w:t>
      </w:r>
      <w:r w:rsidRPr="00B43331">
        <w:t>člena Zakona o varstvu kulturne dediščine (</w:t>
      </w:r>
      <w:r w:rsidRPr="000023D3">
        <w:t xml:space="preserve">Uradni list RS, št. 16/08, 123/08, </w:t>
      </w:r>
      <w:r w:rsidRPr="00C9025C">
        <w:t xml:space="preserve">8/11 </w:t>
      </w:r>
      <w:r w:rsidRPr="0072762D">
        <w:rPr>
          <w:szCs w:val="22"/>
        </w:rPr>
        <w:t>–</w:t>
      </w:r>
      <w:r w:rsidRPr="00C9025C">
        <w:t xml:space="preserve"> ORZVKD39, 90/12</w:t>
      </w:r>
      <w:r>
        <w:t>,</w:t>
      </w:r>
      <w:r w:rsidRPr="001C02B6">
        <w:t xml:space="preserve"> 111/13</w:t>
      </w:r>
      <w:r>
        <w:t xml:space="preserve"> in 32/16</w:t>
      </w:r>
      <w:r w:rsidRPr="001C02B6">
        <w:t>)</w:t>
      </w:r>
      <w:r w:rsidRPr="00B43331">
        <w:t xml:space="preserve"> ter 27. člena Statuta Mestne občine Ljubljana (</w:t>
      </w:r>
      <w:r w:rsidRPr="0072762D">
        <w:rPr>
          <w:szCs w:val="22"/>
        </w:rPr>
        <w:t xml:space="preserve">Uradni list RS, št. </w:t>
      </w:r>
      <w:r>
        <w:rPr>
          <w:szCs w:val="22"/>
        </w:rPr>
        <w:t>24/16</w:t>
      </w:r>
      <w:r w:rsidRPr="0072762D">
        <w:rPr>
          <w:szCs w:val="22"/>
        </w:rPr>
        <w:t xml:space="preserve"> – uradno prečiščeno besedilo</w:t>
      </w:r>
      <w:r w:rsidRPr="00CD5F21">
        <w:t>) je Mestni</w:t>
      </w:r>
      <w:r w:rsidRPr="00B43331">
        <w:t xml:space="preserve"> svet Mestne občine Ljubljana na …….. seji ……………... sprejel</w:t>
      </w:r>
    </w:p>
    <w:p w:rsidR="00365CBC" w:rsidRPr="005F557F" w:rsidRDefault="00365CBC" w:rsidP="00365CBC">
      <w:pPr>
        <w:jc w:val="center"/>
        <w:rPr>
          <w:b/>
        </w:rPr>
      </w:pPr>
    </w:p>
    <w:p w:rsidR="00365CBC" w:rsidRPr="005F557F" w:rsidRDefault="00365CBC" w:rsidP="00365CBC">
      <w:pPr>
        <w:jc w:val="center"/>
        <w:rPr>
          <w:b/>
        </w:rPr>
      </w:pPr>
    </w:p>
    <w:p w:rsidR="00365CBC" w:rsidRPr="005F56A5" w:rsidRDefault="00365CBC" w:rsidP="00365CBC">
      <w:pPr>
        <w:jc w:val="center"/>
        <w:rPr>
          <w:b/>
        </w:rPr>
      </w:pPr>
      <w:r w:rsidRPr="005F56A5">
        <w:rPr>
          <w:b/>
        </w:rPr>
        <w:t>ODLOK</w:t>
      </w:r>
    </w:p>
    <w:p w:rsidR="00365CBC" w:rsidRPr="005F557F" w:rsidRDefault="00365CBC" w:rsidP="00365CBC">
      <w:pPr>
        <w:jc w:val="center"/>
        <w:rPr>
          <w:b/>
        </w:rPr>
      </w:pPr>
      <w:r w:rsidRPr="005F56A5">
        <w:rPr>
          <w:b/>
        </w:rPr>
        <w:t xml:space="preserve">o razglasitvi </w:t>
      </w:r>
      <w:r>
        <w:rPr>
          <w:b/>
        </w:rPr>
        <w:t>Tobačne tovarne</w:t>
      </w:r>
      <w:r w:rsidRPr="005F56A5">
        <w:rPr>
          <w:b/>
        </w:rPr>
        <w:t xml:space="preserve"> </w:t>
      </w:r>
      <w:r w:rsidRPr="00DF5A4F">
        <w:rPr>
          <w:b/>
          <w:color w:val="000000"/>
        </w:rPr>
        <w:t>v Ljubljani</w:t>
      </w:r>
      <w:r>
        <w:rPr>
          <w:b/>
          <w:color w:val="000000"/>
        </w:rPr>
        <w:t xml:space="preserve"> </w:t>
      </w:r>
      <w:r w:rsidRPr="005F56A5">
        <w:rPr>
          <w:b/>
        </w:rPr>
        <w:t>za kulturni spomenik lokalnega pomena</w:t>
      </w:r>
    </w:p>
    <w:p w:rsidR="00365CBC" w:rsidRDefault="00365CBC" w:rsidP="00365CBC">
      <w:pPr>
        <w:jc w:val="both"/>
      </w:pPr>
    </w:p>
    <w:p w:rsidR="00365CBC" w:rsidRPr="005F557F" w:rsidRDefault="00365CBC" w:rsidP="00365CBC">
      <w:pPr>
        <w:jc w:val="both"/>
      </w:pPr>
    </w:p>
    <w:p w:rsidR="00365CBC" w:rsidRPr="001A4905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1A4905">
        <w:rPr>
          <w:b/>
        </w:rPr>
        <w:t>člen</w:t>
      </w:r>
    </w:p>
    <w:p w:rsidR="00365CBC" w:rsidRDefault="00365CBC" w:rsidP="00365CBC">
      <w:pPr>
        <w:jc w:val="both"/>
      </w:pPr>
    </w:p>
    <w:p w:rsidR="00365CBC" w:rsidRDefault="00365CBC" w:rsidP="00365CBC">
      <w:pPr>
        <w:jc w:val="both"/>
      </w:pPr>
      <w:r w:rsidRPr="005F557F">
        <w:t xml:space="preserve">Za kulturni spomenik lokalnega pomena se razglasi </w:t>
      </w:r>
      <w:r w:rsidRPr="00E62F0D">
        <w:t>enota dediščine</w:t>
      </w:r>
      <w:r w:rsidRPr="005F557F">
        <w:t xml:space="preserve"> </w:t>
      </w:r>
      <w:r w:rsidRPr="00CE5FE2">
        <w:t xml:space="preserve">(EŠD </w:t>
      </w:r>
      <w:r w:rsidRPr="00A7187C">
        <w:t>9437</w:t>
      </w:r>
      <w:r w:rsidRPr="00CE5FE2">
        <w:t>)</w:t>
      </w:r>
      <w:r>
        <w:t xml:space="preserve"> </w:t>
      </w:r>
      <w:r w:rsidRPr="0090030E">
        <w:t xml:space="preserve">Ljubljana </w:t>
      </w:r>
      <w:r w:rsidRPr="0072762D">
        <w:rPr>
          <w:szCs w:val="22"/>
        </w:rPr>
        <w:t>–</w:t>
      </w:r>
      <w:r w:rsidRPr="0090030E">
        <w:t xml:space="preserve"> </w:t>
      </w:r>
      <w:r w:rsidRPr="00A7187C">
        <w:t>Tobačn</w:t>
      </w:r>
      <w:r>
        <w:t>a</w:t>
      </w:r>
      <w:r w:rsidRPr="00A7187C">
        <w:t xml:space="preserve"> tovarn</w:t>
      </w:r>
      <w:r>
        <w:t>a</w:t>
      </w:r>
      <w:r w:rsidRPr="0090030E">
        <w:t xml:space="preserve"> </w:t>
      </w:r>
      <w:r>
        <w:t xml:space="preserve">(v </w:t>
      </w:r>
      <w:r w:rsidRPr="00CA41D7">
        <w:t>nadaljnjem besedilu:</w:t>
      </w:r>
      <w:r>
        <w:t xml:space="preserve"> spomenik)</w:t>
      </w:r>
      <w:r w:rsidRPr="00CE5FE2">
        <w:t>.</w:t>
      </w:r>
    </w:p>
    <w:p w:rsidR="00365CBC" w:rsidRDefault="00365CBC" w:rsidP="00365CBC">
      <w:pPr>
        <w:jc w:val="both"/>
      </w:pPr>
    </w:p>
    <w:p w:rsidR="00365CBC" w:rsidRPr="00811EF8" w:rsidRDefault="00365CBC" w:rsidP="00365CBC">
      <w:pPr>
        <w:jc w:val="both"/>
      </w:pPr>
      <w:r w:rsidRPr="00811EF8">
        <w:t>Spomenik obsega parcele številka: *77/3, *608, 185/7, 185/13, 185/15, 185/16, 185/17, 185/18, 185/58, 185/60, 185/70, 185/82, 185/89, 185/90, 185/91, 185/92, 188/1, 188/2, 188/3, 189/1, 189/2, 189/4, 189/5 in 190/1, vse katastrska občina 2679 – Gradišče II.</w:t>
      </w:r>
    </w:p>
    <w:p w:rsidR="00365CBC" w:rsidRPr="0010756D" w:rsidRDefault="00365CBC" w:rsidP="00365CBC">
      <w:pPr>
        <w:jc w:val="both"/>
        <w:rPr>
          <w:b/>
          <w:highlight w:val="yellow"/>
        </w:rPr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Default="00365CBC" w:rsidP="00365CBC">
      <w:pPr>
        <w:jc w:val="both"/>
      </w:pPr>
    </w:p>
    <w:p w:rsidR="00365CBC" w:rsidRPr="00E83CB8" w:rsidRDefault="00365CBC" w:rsidP="00365CBC">
      <w:pPr>
        <w:jc w:val="both"/>
      </w:pPr>
      <w:r w:rsidRPr="006D4F1A">
        <w:t xml:space="preserve">Vrednote, ki utemeljujejo razglasitev za spomenik lokalnega </w:t>
      </w:r>
      <w:r w:rsidRPr="00CA41D7">
        <w:t xml:space="preserve">pomena: </w:t>
      </w:r>
      <w:r w:rsidRPr="00A36EE0">
        <w:t>Tobačna tovarna, zgrajena v verigi tobačnih tovarn avstro-ogrskega državnega monopola med letoma 1871</w:t>
      </w:r>
      <w:r>
        <w:t xml:space="preserve"> </w:t>
      </w:r>
      <w:r w:rsidRPr="0072762D">
        <w:rPr>
          <w:szCs w:val="22"/>
        </w:rPr>
        <w:t>–</w:t>
      </w:r>
      <w:r w:rsidRPr="00A36EE0">
        <w:t xml:space="preserve"> 1890, </w:t>
      </w:r>
      <w:r w:rsidRPr="00DE5CB1">
        <w:t xml:space="preserve">je bila </w:t>
      </w:r>
      <w:r w:rsidRPr="006712F9">
        <w:t>največja tovarna v Ljubljani</w:t>
      </w:r>
      <w:r w:rsidRPr="00A36EE0">
        <w:t xml:space="preserve"> v drugi polovici 19.</w:t>
      </w:r>
      <w:r>
        <w:t xml:space="preserve"> </w:t>
      </w:r>
      <w:r w:rsidRPr="00A36EE0">
        <w:t>stol</w:t>
      </w:r>
      <w:r>
        <w:t>etja</w:t>
      </w:r>
      <w:r w:rsidRPr="00A36EE0">
        <w:t xml:space="preserve"> in predstavlja zgodnji primer industrijske arhitekture v mestu. Industrijski kompleks, zasnovan v paviljonskem sistemu z reprezentativnimi upravno industrijskimi in skladiščnimi objekti ter parkovno ureditvijo med njimi, je bil v celoti podrejen sočasnemu meščanskemu okolju in predstavlja značilne elemente novih mestnih četrti, reguliranih v zadnji četrtini 19. stoletja.</w:t>
      </w:r>
      <w:r>
        <w:t xml:space="preserve"> </w:t>
      </w:r>
      <w:r w:rsidRPr="00A36EE0">
        <w:t xml:space="preserve">Pri gradnji industrijskih objektov z notranjo izvirno železno skeletno konstrukcijo z uporabo litoželeznih podpornih stebrov, ki nosijo lesene strope in leseno konstrukcijo odprtih ostrešij, je sodelovalo več ljubljanskih stavbenikov, kot so Gustav </w:t>
      </w:r>
      <w:proofErr w:type="spellStart"/>
      <w:r w:rsidRPr="00A36EE0">
        <w:t>Tönnies</w:t>
      </w:r>
      <w:proofErr w:type="spellEnd"/>
      <w:r w:rsidRPr="00A36EE0">
        <w:t>, Filip Supančič, Avgust Žabkar in drugi.</w:t>
      </w:r>
    </w:p>
    <w:p w:rsidR="00365CBC" w:rsidRDefault="00365CBC" w:rsidP="00365CBC">
      <w:pPr>
        <w:jc w:val="both"/>
      </w:pPr>
    </w:p>
    <w:p w:rsidR="00365CBC" w:rsidRPr="00811EF8" w:rsidRDefault="00365CBC" w:rsidP="00365CBC">
      <w:pPr>
        <w:jc w:val="both"/>
      </w:pPr>
      <w:r w:rsidRPr="00811EF8">
        <w:t>Varovane sestavine spomenika so:</w:t>
      </w:r>
    </w:p>
    <w:p w:rsidR="00365CBC" w:rsidRPr="00811EF8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811EF8">
        <w:t>prvotni objekti Tobačne tovarne na parcelah št. *608, 185/7, 185/13, 185/16, 185/17, 185/18, 185/60, 185/90, 185/92, 188/2 in 190/1, vse katastrska občina 2679 – Gradišče II</w:t>
      </w:r>
      <w:r>
        <w:t>;</w:t>
      </w:r>
    </w:p>
    <w:p w:rsidR="00365CBC" w:rsidRPr="00811EF8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811EF8">
        <w:t>Tobačni muzej z zbirko predmetov in gradiva, ki predstavlja preteklost in življenje tovarne in njenih delavcev</w:t>
      </w:r>
      <w:r>
        <w:t xml:space="preserve"> in</w:t>
      </w:r>
    </w:p>
    <w:p w:rsidR="00365CBC" w:rsidRPr="00811EF8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811EF8">
        <w:t>javni spomenik Tobačna delavka.</w:t>
      </w:r>
    </w:p>
    <w:p w:rsidR="00365CBC" w:rsidRDefault="00365CBC" w:rsidP="00365CBC">
      <w:pPr>
        <w:jc w:val="both"/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jc w:val="both"/>
      </w:pPr>
      <w:r>
        <w:t>Za spomenik velja varstveni režim, ki določa:</w:t>
      </w:r>
    </w:p>
    <w:p w:rsidR="00365CBC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B0699E">
        <w:t xml:space="preserve">celostno ohranjanje kulturnih, industrijskih, umetnostnih in arhitekturnih ter </w:t>
      </w:r>
      <w:proofErr w:type="spellStart"/>
      <w:r w:rsidRPr="00B0699E">
        <w:t>vrtnoarhitekturnih</w:t>
      </w:r>
      <w:proofErr w:type="spellEnd"/>
      <w:r w:rsidRPr="00B0699E">
        <w:t xml:space="preserve"> sestavin </w:t>
      </w:r>
      <w:r w:rsidRPr="004A0307">
        <w:t>kompleksa z odprtim prostorom v skladu s prvotno zasnovo</w:t>
      </w:r>
      <w:r w:rsidRPr="00B0699E">
        <w:t xml:space="preserve"> spomenika</w:t>
      </w:r>
      <w:r>
        <w:t>;</w:t>
      </w:r>
    </w:p>
    <w:p w:rsidR="00365CBC" w:rsidRPr="00B0699E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B0699E">
        <w:t xml:space="preserve">redno strokovno vzdrževanje celote in ovrednotenih sestavin spomenika ter posameznih neokrnjenih izvirnih prvin arhitekturne zasnove spomenika in </w:t>
      </w:r>
      <w:r>
        <w:t>pripadajočega odprtega prostora;</w:t>
      </w:r>
    </w:p>
    <w:p w:rsidR="00365CBC" w:rsidRPr="00B0699E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B0699E">
        <w:t>podrejanje vseh posegov v spomenik in njegovih delov ohranjanju varovanih sestavin spomenika v obliki, legi, gabaritih, konstrukciji, materia</w:t>
      </w:r>
      <w:r>
        <w:t>lih, strukturi in barvni podobi;</w:t>
      </w:r>
    </w:p>
    <w:p w:rsidR="00365CBC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B0699E">
        <w:t>v primeru okrnitve spomenika ali njegovega varovanega dela je potrebno zagotoviti strokovno prenovo in vzpostavitev na podlagi stanja pred p</w:t>
      </w:r>
      <w:r>
        <w:t>osegom na stroške povzročitelja;</w:t>
      </w:r>
    </w:p>
    <w:p w:rsidR="00365CBC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sekundarne objekte in prizidke je potrebno odstraniti, ohraniti je dopustno prizidke, ki so nujno potrebni za delovanje prvotnih objektov;</w:t>
      </w:r>
    </w:p>
    <w:p w:rsidR="00365CBC" w:rsidRPr="00811EF8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811EF8">
        <w:lastRenderedPageBreak/>
        <w:t>prepovedano je pozidati odprti prostor z nosilci reklam al</w:t>
      </w:r>
      <w:r w:rsidRPr="00661E72">
        <w:t>i</w:t>
      </w:r>
      <w:r w:rsidRPr="00811EF8">
        <w:t xml:space="preserve"> drugih oznak, razen kadar so ti nujni za učinkovito ohranjanje in predstavitev ter delovanje spomenika ali njegovih delov;</w:t>
      </w:r>
    </w:p>
    <w:p w:rsidR="00365CBC" w:rsidRDefault="00365CBC" w:rsidP="00365C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B0699E">
        <w:t>pri t</w:t>
      </w:r>
      <w:r>
        <w:t>ehničnem posodabljanju spomenika</w:t>
      </w:r>
      <w:r w:rsidRPr="00B0699E">
        <w:t xml:space="preserve"> in zagotavljanju dostopa gibalno oviranim osebam je treba varovane sestavine spomenika o</w:t>
      </w:r>
      <w:r>
        <w:t>hranjati v največji možni meri.</w:t>
      </w:r>
    </w:p>
    <w:p w:rsidR="00365CBC" w:rsidRDefault="00365CBC" w:rsidP="00365CBC">
      <w:pPr>
        <w:pStyle w:val="Glava"/>
        <w:jc w:val="both"/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pStyle w:val="Glava"/>
        <w:jc w:val="both"/>
      </w:pPr>
      <w:r>
        <w:rPr>
          <w:szCs w:val="22"/>
        </w:rPr>
        <w:t xml:space="preserve">Vplivno območje spomenika obsega parcele številka: </w:t>
      </w:r>
      <w:r w:rsidRPr="00FE22AD">
        <w:rPr>
          <w:szCs w:val="22"/>
        </w:rPr>
        <w:t>99/56</w:t>
      </w:r>
      <w:r>
        <w:rPr>
          <w:szCs w:val="22"/>
        </w:rPr>
        <w:t xml:space="preserve">, </w:t>
      </w:r>
      <w:r w:rsidRPr="00FE22AD">
        <w:rPr>
          <w:szCs w:val="22"/>
        </w:rPr>
        <w:t>184/2</w:t>
      </w:r>
      <w:r>
        <w:rPr>
          <w:szCs w:val="22"/>
        </w:rPr>
        <w:t xml:space="preserve">, </w:t>
      </w:r>
      <w:r w:rsidRPr="00FE22AD">
        <w:rPr>
          <w:szCs w:val="22"/>
        </w:rPr>
        <w:t>185/61</w:t>
      </w:r>
      <w:r>
        <w:rPr>
          <w:szCs w:val="22"/>
        </w:rPr>
        <w:t xml:space="preserve">, </w:t>
      </w:r>
      <w:r w:rsidRPr="00FE22AD">
        <w:rPr>
          <w:szCs w:val="22"/>
        </w:rPr>
        <w:t>185/6</w:t>
      </w:r>
      <w:r>
        <w:rPr>
          <w:szCs w:val="22"/>
        </w:rPr>
        <w:t xml:space="preserve">2, </w:t>
      </w:r>
      <w:r w:rsidRPr="00FE22AD">
        <w:rPr>
          <w:szCs w:val="22"/>
        </w:rPr>
        <w:t>185/6</w:t>
      </w:r>
      <w:r>
        <w:rPr>
          <w:szCs w:val="22"/>
        </w:rPr>
        <w:t xml:space="preserve">3, </w:t>
      </w:r>
      <w:r w:rsidRPr="00FE22AD">
        <w:rPr>
          <w:szCs w:val="22"/>
        </w:rPr>
        <w:t>185/6</w:t>
      </w:r>
      <w:r>
        <w:rPr>
          <w:szCs w:val="22"/>
        </w:rPr>
        <w:t xml:space="preserve">4, </w:t>
      </w:r>
      <w:r w:rsidRPr="00FE22AD">
        <w:rPr>
          <w:szCs w:val="22"/>
        </w:rPr>
        <w:t>185/6</w:t>
      </w:r>
      <w:r>
        <w:rPr>
          <w:szCs w:val="22"/>
        </w:rPr>
        <w:t xml:space="preserve">5, </w:t>
      </w:r>
      <w:r w:rsidRPr="00FE22AD">
        <w:rPr>
          <w:szCs w:val="22"/>
        </w:rPr>
        <w:t>185/6</w:t>
      </w:r>
      <w:r>
        <w:rPr>
          <w:szCs w:val="22"/>
        </w:rPr>
        <w:t xml:space="preserve">6, </w:t>
      </w:r>
      <w:r w:rsidRPr="00FE22AD">
        <w:rPr>
          <w:szCs w:val="22"/>
        </w:rPr>
        <w:t>185/6</w:t>
      </w:r>
      <w:r>
        <w:rPr>
          <w:szCs w:val="22"/>
        </w:rPr>
        <w:t xml:space="preserve">7, </w:t>
      </w:r>
      <w:r w:rsidRPr="00FE22AD">
        <w:rPr>
          <w:szCs w:val="22"/>
        </w:rPr>
        <w:t>185/6</w:t>
      </w:r>
      <w:r>
        <w:rPr>
          <w:szCs w:val="22"/>
        </w:rPr>
        <w:t xml:space="preserve">8, </w:t>
      </w:r>
      <w:r w:rsidRPr="00FE22AD">
        <w:rPr>
          <w:szCs w:val="22"/>
        </w:rPr>
        <w:t>185/</w:t>
      </w:r>
      <w:r>
        <w:rPr>
          <w:szCs w:val="22"/>
        </w:rPr>
        <w:t xml:space="preserve">69, </w:t>
      </w:r>
      <w:r w:rsidRPr="00FE22AD">
        <w:rPr>
          <w:szCs w:val="22"/>
        </w:rPr>
        <w:t>185/71</w:t>
      </w:r>
      <w:r>
        <w:rPr>
          <w:szCs w:val="22"/>
        </w:rPr>
        <w:t xml:space="preserve">, </w:t>
      </w:r>
      <w:r w:rsidRPr="00FE22AD">
        <w:rPr>
          <w:szCs w:val="22"/>
        </w:rPr>
        <w:t>185/7</w:t>
      </w:r>
      <w:r>
        <w:rPr>
          <w:szCs w:val="22"/>
        </w:rPr>
        <w:t xml:space="preserve">4, </w:t>
      </w:r>
      <w:r w:rsidRPr="00FE22AD">
        <w:rPr>
          <w:szCs w:val="22"/>
        </w:rPr>
        <w:t>185/</w:t>
      </w:r>
      <w:r>
        <w:rPr>
          <w:szCs w:val="22"/>
        </w:rPr>
        <w:t xml:space="preserve">80, </w:t>
      </w:r>
      <w:r w:rsidRPr="00FE22AD">
        <w:rPr>
          <w:szCs w:val="22"/>
        </w:rPr>
        <w:t>185/83</w:t>
      </w:r>
      <w:r>
        <w:rPr>
          <w:szCs w:val="22"/>
        </w:rPr>
        <w:t xml:space="preserve">, </w:t>
      </w:r>
      <w:r w:rsidRPr="00FE22AD">
        <w:rPr>
          <w:szCs w:val="22"/>
        </w:rPr>
        <w:t>185/8</w:t>
      </w:r>
      <w:r>
        <w:rPr>
          <w:szCs w:val="22"/>
        </w:rPr>
        <w:t xml:space="preserve">4, </w:t>
      </w:r>
      <w:r w:rsidRPr="00FE22AD">
        <w:rPr>
          <w:szCs w:val="22"/>
        </w:rPr>
        <w:t>185/8</w:t>
      </w:r>
      <w:r>
        <w:rPr>
          <w:szCs w:val="22"/>
        </w:rPr>
        <w:t xml:space="preserve">5, </w:t>
      </w:r>
      <w:r w:rsidRPr="00FE22AD">
        <w:rPr>
          <w:szCs w:val="22"/>
        </w:rPr>
        <w:t>185/8</w:t>
      </w:r>
      <w:r>
        <w:rPr>
          <w:szCs w:val="22"/>
        </w:rPr>
        <w:t xml:space="preserve">6, </w:t>
      </w:r>
      <w:r w:rsidRPr="00FE22AD">
        <w:rPr>
          <w:szCs w:val="22"/>
        </w:rPr>
        <w:t>185/8</w:t>
      </w:r>
      <w:r>
        <w:rPr>
          <w:szCs w:val="22"/>
        </w:rPr>
        <w:t xml:space="preserve">7, </w:t>
      </w:r>
      <w:r w:rsidRPr="00FE22AD">
        <w:rPr>
          <w:szCs w:val="22"/>
        </w:rPr>
        <w:t>185/8</w:t>
      </w:r>
      <w:r>
        <w:rPr>
          <w:szCs w:val="22"/>
        </w:rPr>
        <w:t xml:space="preserve">8, </w:t>
      </w:r>
      <w:r w:rsidRPr="00FE22AD">
        <w:rPr>
          <w:szCs w:val="22"/>
        </w:rPr>
        <w:t>185/93</w:t>
      </w:r>
      <w:r>
        <w:rPr>
          <w:szCs w:val="22"/>
        </w:rPr>
        <w:t xml:space="preserve">, </w:t>
      </w:r>
      <w:r w:rsidRPr="00FE22AD">
        <w:rPr>
          <w:szCs w:val="22"/>
        </w:rPr>
        <w:t>185/9</w:t>
      </w:r>
      <w:r>
        <w:rPr>
          <w:szCs w:val="22"/>
        </w:rPr>
        <w:t xml:space="preserve">4 </w:t>
      </w:r>
      <w:r w:rsidRPr="00811EF8">
        <w:rPr>
          <w:szCs w:val="22"/>
        </w:rPr>
        <w:t>in 185/95</w:t>
      </w:r>
      <w:r>
        <w:rPr>
          <w:szCs w:val="22"/>
        </w:rPr>
        <w:t xml:space="preserve">, </w:t>
      </w:r>
      <w:r w:rsidRPr="004A0307">
        <w:t xml:space="preserve">vse </w:t>
      </w:r>
      <w:r w:rsidRPr="00B40A6F">
        <w:t>k</w:t>
      </w:r>
      <w:r>
        <w:t>atastrska občina</w:t>
      </w:r>
      <w:r w:rsidRPr="00B40A6F">
        <w:t xml:space="preserve"> </w:t>
      </w:r>
      <w:r w:rsidRPr="004F0A11">
        <w:t>2679</w:t>
      </w:r>
      <w:r>
        <w:t xml:space="preserve"> – </w:t>
      </w:r>
      <w:r w:rsidRPr="004A0307">
        <w:t>Gradišče II</w:t>
      </w:r>
      <w:r>
        <w:t>.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jc w:val="both"/>
      </w:pPr>
      <w:r>
        <w:t xml:space="preserve">Za vplivno območje spomenika velja varstveni režim, ki določa </w:t>
      </w:r>
      <w:r w:rsidRPr="00FE22AD">
        <w:t>podrejanje posegov obstoječi pozidavi in ohranjanje razmerja med odprtim prostorom in obstoječo pozidavo.</w:t>
      </w:r>
    </w:p>
    <w:p w:rsidR="00365CBC" w:rsidRDefault="00365CBC" w:rsidP="00365CBC">
      <w:pPr>
        <w:pStyle w:val="Glava"/>
        <w:jc w:val="both"/>
      </w:pPr>
    </w:p>
    <w:p w:rsidR="00365CBC" w:rsidRPr="0010756D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10756D">
        <w:rPr>
          <w:b/>
        </w:rPr>
        <w:t>člen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jc w:val="both"/>
      </w:pPr>
      <w:r w:rsidRPr="007B3EA7">
        <w:t>Lastnik, posestnik in upravljavec spomenika morajo v sorazmerju s svojimi zmožnostmi javnosti omogočiti dostopnost spomenika in njegovo predstavljanje.</w:t>
      </w:r>
    </w:p>
    <w:p w:rsidR="00365CBC" w:rsidRDefault="00365CBC" w:rsidP="00365CBC"/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pStyle w:val="Glava"/>
        <w:jc w:val="both"/>
      </w:pPr>
      <w:r w:rsidRPr="00714EAC">
        <w:t>Za vse posege v spomenik</w:t>
      </w:r>
      <w:r>
        <w:t xml:space="preserve"> </w:t>
      </w:r>
      <w:r w:rsidRPr="00811EF8">
        <w:t>in njegovo vplivno območje</w:t>
      </w:r>
      <w:r>
        <w:t xml:space="preserve">, </w:t>
      </w:r>
      <w:r w:rsidRPr="00D17786">
        <w:t>razen če zakon ne določa drugače,</w:t>
      </w:r>
      <w:r w:rsidRPr="00714EAC">
        <w:t xml:space="preserve"> je </w:t>
      </w:r>
      <w:r>
        <w:t>po</w:t>
      </w:r>
      <w:r w:rsidRPr="00714EAC">
        <w:t>treb</w:t>
      </w:r>
      <w:r>
        <w:t>no</w:t>
      </w:r>
      <w:r w:rsidRPr="00714EAC">
        <w:t xml:space="preserve"> </w:t>
      </w:r>
      <w:r>
        <w:t xml:space="preserve">pridobiti </w:t>
      </w:r>
      <w:proofErr w:type="spellStart"/>
      <w:r w:rsidRPr="00714EAC">
        <w:t>kulturnovarstven</w:t>
      </w:r>
      <w:r>
        <w:t>e</w:t>
      </w:r>
      <w:proofErr w:type="spellEnd"/>
      <w:r w:rsidRPr="00714EAC">
        <w:t xml:space="preserve"> pogoje</w:t>
      </w:r>
      <w:r>
        <w:t xml:space="preserve"> in </w:t>
      </w:r>
      <w:proofErr w:type="spellStart"/>
      <w:r w:rsidRPr="00714EAC">
        <w:t>kulturnovarstveno</w:t>
      </w:r>
      <w:proofErr w:type="spellEnd"/>
      <w:r w:rsidRPr="00714EAC">
        <w:t xml:space="preserve"> soglasje </w:t>
      </w:r>
      <w:r w:rsidRPr="00FC0E8E">
        <w:t>Zavoda za varstvo kulturne dediščine Slovenije, Območna enota Ljubljana (v nadaljnjem besedilu:</w:t>
      </w:r>
      <w:r>
        <w:t xml:space="preserve"> zavod).</w:t>
      </w:r>
    </w:p>
    <w:p w:rsidR="00365CBC" w:rsidRDefault="00365CBC" w:rsidP="00365CBC">
      <w:pPr>
        <w:pStyle w:val="Glava"/>
        <w:jc w:val="both"/>
      </w:pPr>
    </w:p>
    <w:p w:rsidR="00365CBC" w:rsidRDefault="00365CBC" w:rsidP="00365CBC">
      <w:pPr>
        <w:jc w:val="both"/>
      </w:pPr>
      <w:proofErr w:type="spellStart"/>
      <w:r w:rsidRPr="00811EF8">
        <w:t>Kulturnovarstven</w:t>
      </w:r>
      <w:r>
        <w:t>e</w:t>
      </w:r>
      <w:proofErr w:type="spellEnd"/>
      <w:r>
        <w:t xml:space="preserve"> pogoje in </w:t>
      </w:r>
      <w:proofErr w:type="spellStart"/>
      <w:r>
        <w:t>kulturnovarstveno</w:t>
      </w:r>
      <w:proofErr w:type="spellEnd"/>
      <w:r>
        <w:t xml:space="preserve"> soglasje zavod izdaja v skladu z določili veljavnega prostorskega akta, ki ureja območje spomenika in vplivnega območja spomenika, in določili tega odloka.</w:t>
      </w:r>
    </w:p>
    <w:p w:rsidR="00365CBC" w:rsidRDefault="00365CBC" w:rsidP="00365CBC">
      <w:pPr>
        <w:jc w:val="both"/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  <w:szCs w:val="22"/>
        </w:rPr>
      </w:pPr>
      <w:r w:rsidRPr="00B921E2">
        <w:rPr>
          <w:b/>
          <w:szCs w:val="22"/>
        </w:rPr>
        <w:t>člen</w:t>
      </w:r>
    </w:p>
    <w:p w:rsidR="00365CBC" w:rsidRDefault="00365CBC" w:rsidP="00365CBC">
      <w:pPr>
        <w:pStyle w:val="Glava"/>
        <w:jc w:val="both"/>
        <w:rPr>
          <w:szCs w:val="22"/>
        </w:rPr>
      </w:pPr>
    </w:p>
    <w:p w:rsidR="00365CBC" w:rsidRPr="00D17786" w:rsidRDefault="00365CBC" w:rsidP="00365CBC">
      <w:pPr>
        <w:jc w:val="both"/>
        <w:rPr>
          <w:szCs w:val="22"/>
        </w:rPr>
      </w:pPr>
      <w:r>
        <w:t>P</w:t>
      </w:r>
      <w:r w:rsidRPr="00D17786">
        <w:rPr>
          <w:szCs w:val="22"/>
        </w:rPr>
        <w:t>ristojno sodišče po uradni dolžnosti zaznamuje v zemljiški knjigi status kulturnega spomenika na nepremičninah</w:t>
      </w:r>
      <w:r>
        <w:rPr>
          <w:szCs w:val="22"/>
        </w:rPr>
        <w:t xml:space="preserve"> iz</w:t>
      </w:r>
      <w:r w:rsidRPr="00D17786">
        <w:rPr>
          <w:szCs w:val="22"/>
        </w:rPr>
        <w:t xml:space="preserve"> </w:t>
      </w:r>
      <w:r>
        <w:rPr>
          <w:szCs w:val="22"/>
        </w:rPr>
        <w:t xml:space="preserve">drugega </w:t>
      </w:r>
      <w:r w:rsidRPr="00D17786">
        <w:rPr>
          <w:szCs w:val="22"/>
        </w:rPr>
        <w:t>odstavk</w:t>
      </w:r>
      <w:r>
        <w:rPr>
          <w:szCs w:val="22"/>
        </w:rPr>
        <w:t>a</w:t>
      </w:r>
      <w:r w:rsidRPr="00D17786">
        <w:rPr>
          <w:szCs w:val="22"/>
        </w:rPr>
        <w:t xml:space="preserve"> </w:t>
      </w:r>
      <w:r>
        <w:rPr>
          <w:szCs w:val="22"/>
        </w:rPr>
        <w:t>1</w:t>
      </w:r>
      <w:r w:rsidRPr="00D17786">
        <w:rPr>
          <w:szCs w:val="22"/>
        </w:rPr>
        <w:t xml:space="preserve">. člena tega odloka. </w:t>
      </w:r>
    </w:p>
    <w:p w:rsidR="00365CBC" w:rsidRDefault="00365CBC" w:rsidP="00365CBC">
      <w:pPr>
        <w:pStyle w:val="Glava"/>
        <w:jc w:val="both"/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Pr="00714EAC" w:rsidRDefault="00365CBC" w:rsidP="00365CBC">
      <w:pPr>
        <w:pStyle w:val="Glava"/>
        <w:jc w:val="both"/>
      </w:pPr>
    </w:p>
    <w:p w:rsidR="00365CBC" w:rsidRDefault="00365CBC" w:rsidP="00365CBC">
      <w:pPr>
        <w:jc w:val="both"/>
      </w:pPr>
      <w:r w:rsidRPr="005F557F">
        <w:t>Mej</w:t>
      </w:r>
      <w:r>
        <w:t>e</w:t>
      </w:r>
      <w:r w:rsidRPr="005F557F">
        <w:t xml:space="preserve"> spomenika</w:t>
      </w:r>
      <w:r>
        <w:t xml:space="preserve"> </w:t>
      </w:r>
      <w:r w:rsidRPr="00DC331F">
        <w:t>in vplivnega območja</w:t>
      </w:r>
      <w:r>
        <w:t xml:space="preserve"> so določene na digitalnem katastrskem načrtu </w:t>
      </w:r>
      <w:r w:rsidRPr="005F557F">
        <w:t xml:space="preserve">v merilu </w:t>
      </w:r>
      <w:r w:rsidRPr="005F56A5">
        <w:t>1:</w:t>
      </w:r>
      <w:r>
        <w:t>23</w:t>
      </w:r>
      <w:r w:rsidRPr="005F56A5">
        <w:t>00</w:t>
      </w:r>
      <w:r>
        <w:t xml:space="preserve"> in</w:t>
      </w:r>
      <w:r w:rsidRPr="005F557F">
        <w:t xml:space="preserve"> vrisan</w:t>
      </w:r>
      <w:r>
        <w:t>e</w:t>
      </w:r>
      <w:r w:rsidRPr="005F557F">
        <w:t xml:space="preserve"> na </w:t>
      </w:r>
      <w:r>
        <w:t>topografskem načrtu v merilu 1:5000</w:t>
      </w:r>
      <w:r w:rsidRPr="005F557F">
        <w:t>. Izvirnika načrtov, ki sta sestavn</w:t>
      </w:r>
      <w:r>
        <w:t>a</w:t>
      </w:r>
      <w:r w:rsidRPr="005F557F">
        <w:t xml:space="preserve"> del</w:t>
      </w:r>
      <w:r>
        <w:t>a</w:t>
      </w:r>
      <w:r w:rsidRPr="005F557F">
        <w:t xml:space="preserve"> tega odloka, hranita </w:t>
      </w:r>
      <w:r>
        <w:t>zavod in Mestna občina Ljubljana.</w:t>
      </w:r>
    </w:p>
    <w:p w:rsidR="00365CBC" w:rsidRPr="0010756D" w:rsidRDefault="00365CBC" w:rsidP="00365CBC">
      <w:pPr>
        <w:jc w:val="both"/>
        <w:rPr>
          <w:b/>
        </w:rPr>
      </w:pPr>
    </w:p>
    <w:p w:rsidR="00365CBC" w:rsidRPr="00B921E2" w:rsidRDefault="00365CBC" w:rsidP="00365CBC">
      <w:pPr>
        <w:numPr>
          <w:ilvl w:val="0"/>
          <w:numId w:val="1"/>
        </w:numPr>
        <w:jc w:val="center"/>
        <w:rPr>
          <w:b/>
        </w:rPr>
      </w:pPr>
      <w:r w:rsidRPr="00B921E2">
        <w:rPr>
          <w:b/>
        </w:rPr>
        <w:t>člen</w:t>
      </w:r>
    </w:p>
    <w:p w:rsidR="00365CBC" w:rsidRDefault="00365CBC" w:rsidP="00365CBC">
      <w:pPr>
        <w:pStyle w:val="Glava"/>
        <w:jc w:val="both"/>
      </w:pPr>
    </w:p>
    <w:p w:rsidR="00365CBC" w:rsidRPr="0067572B" w:rsidRDefault="00365CBC" w:rsidP="00365CBC">
      <w:pPr>
        <w:pStyle w:val="Glava"/>
        <w:jc w:val="both"/>
      </w:pPr>
      <w:r w:rsidRPr="0067572B">
        <w:t xml:space="preserve">Ta odlok začne veljati naslednji dan po objavi v Uradnem listu Republike Slovenije. </w:t>
      </w:r>
    </w:p>
    <w:p w:rsidR="00365CBC" w:rsidRDefault="00365CBC" w:rsidP="00365CBC">
      <w:pPr>
        <w:pStyle w:val="Telobesedila"/>
        <w:rPr>
          <w:b/>
          <w:bCs/>
          <w:szCs w:val="24"/>
        </w:rPr>
      </w:pPr>
    </w:p>
    <w:p w:rsidR="00365CBC" w:rsidRPr="00B43331" w:rsidRDefault="00365CBC" w:rsidP="00365CBC">
      <w:pPr>
        <w:pStyle w:val="Telobesedila"/>
        <w:rPr>
          <w:b/>
          <w:bCs/>
          <w:szCs w:val="24"/>
        </w:rPr>
      </w:pPr>
    </w:p>
    <w:p w:rsidR="00365CBC" w:rsidRPr="00B43331" w:rsidRDefault="00365CBC" w:rsidP="00365CBC">
      <w:pPr>
        <w:tabs>
          <w:tab w:val="center" w:pos="6804"/>
        </w:tabs>
      </w:pPr>
      <w:r w:rsidRPr="00B43331">
        <w:t xml:space="preserve">Številka: </w:t>
      </w:r>
      <w:r w:rsidRPr="005E06D3">
        <w:t>622-</w:t>
      </w:r>
      <w:r>
        <w:t>32/2016 - ...</w:t>
      </w:r>
    </w:p>
    <w:p w:rsidR="00365CBC" w:rsidRPr="00B43331" w:rsidRDefault="00365CBC" w:rsidP="00365CBC">
      <w:pPr>
        <w:tabs>
          <w:tab w:val="center" w:pos="6804"/>
        </w:tabs>
      </w:pPr>
      <w:r w:rsidRPr="00B43331">
        <w:t>Ljubljana,</w:t>
      </w:r>
      <w:r>
        <w:t xml:space="preserve"> </w:t>
      </w:r>
    </w:p>
    <w:p w:rsidR="00365CBC" w:rsidRDefault="00365CBC" w:rsidP="00365CBC">
      <w:pPr>
        <w:tabs>
          <w:tab w:val="center" w:pos="6804"/>
        </w:tabs>
        <w:rPr>
          <w:b/>
        </w:rPr>
      </w:pPr>
    </w:p>
    <w:p w:rsidR="00365CBC" w:rsidRDefault="00365CBC" w:rsidP="00365CBC">
      <w:pPr>
        <w:tabs>
          <w:tab w:val="center" w:pos="6804"/>
        </w:tabs>
        <w:rPr>
          <w:b/>
        </w:rPr>
      </w:pPr>
    </w:p>
    <w:p w:rsidR="00365CBC" w:rsidRPr="00C9025C" w:rsidRDefault="00365CBC" w:rsidP="00365CBC">
      <w:pPr>
        <w:jc w:val="center"/>
      </w:pPr>
      <w:r w:rsidRPr="00C9025C">
        <w:t xml:space="preserve">          Župan</w:t>
      </w:r>
    </w:p>
    <w:p w:rsidR="00365CBC" w:rsidRPr="00C9025C" w:rsidRDefault="00365CBC" w:rsidP="00365CBC">
      <w:pPr>
        <w:jc w:val="center"/>
      </w:pPr>
      <w:r w:rsidRPr="00C9025C">
        <w:tab/>
        <w:t xml:space="preserve">                           Mestne občine Ljubljana</w:t>
      </w:r>
    </w:p>
    <w:p w:rsidR="00365CBC" w:rsidRPr="00937CC7" w:rsidRDefault="00365CBC" w:rsidP="00365CBC">
      <w:pPr>
        <w:jc w:val="center"/>
        <w:rPr>
          <w:i/>
        </w:rPr>
      </w:pPr>
      <w:r w:rsidRPr="00C9025C">
        <w:tab/>
      </w:r>
      <w:r w:rsidRPr="00C9025C">
        <w:rPr>
          <w:i/>
        </w:rPr>
        <w:t xml:space="preserve">             Zoran Janković</w:t>
      </w:r>
    </w:p>
    <w:p w:rsidR="00E70FBE" w:rsidRPr="00365CBC" w:rsidRDefault="00E70FBE" w:rsidP="00365CBC">
      <w:bookmarkStart w:id="0" w:name="_GoBack"/>
      <w:bookmarkEnd w:id="0"/>
    </w:p>
    <w:sectPr w:rsidR="00E70FBE" w:rsidRPr="0036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1313"/>
    <w:multiLevelType w:val="hybridMultilevel"/>
    <w:tmpl w:val="C7000428"/>
    <w:lvl w:ilvl="0" w:tplc="896088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80612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560B0"/>
    <w:multiLevelType w:val="hybridMultilevel"/>
    <w:tmpl w:val="2814E9C0"/>
    <w:lvl w:ilvl="0" w:tplc="47E8D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80612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BE"/>
    <w:rsid w:val="000B5303"/>
    <w:rsid w:val="001A6144"/>
    <w:rsid w:val="00365CBC"/>
    <w:rsid w:val="004C5D15"/>
    <w:rsid w:val="006F6FF7"/>
    <w:rsid w:val="007D43FE"/>
    <w:rsid w:val="00E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1B07-9454-4082-9A57-EEA0FEC5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0FB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70FB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70FBE"/>
    <w:rPr>
      <w:rFonts w:ascii="Times New Roman" w:eastAsia="Times New Roman" w:hAnsi="Times New Roman" w:cs="Times New Roman"/>
      <w:szCs w:val="24"/>
    </w:rPr>
  </w:style>
  <w:style w:type="paragraph" w:styleId="Telobesedila">
    <w:name w:val="Body Text"/>
    <w:basedOn w:val="Navaden"/>
    <w:link w:val="TelobesedilaZnak"/>
    <w:rsid w:val="00E70FBE"/>
    <w:pPr>
      <w:jc w:val="both"/>
    </w:pPr>
    <w:rPr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FB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Butina Smrdel</dc:creator>
  <cp:keywords/>
  <dc:description/>
  <cp:lastModifiedBy>Miljana Butina Smrdel</cp:lastModifiedBy>
  <cp:revision>4</cp:revision>
  <dcterms:created xsi:type="dcterms:W3CDTF">2017-01-03T13:35:00Z</dcterms:created>
  <dcterms:modified xsi:type="dcterms:W3CDTF">2017-01-05T10:37:00Z</dcterms:modified>
</cp:coreProperties>
</file>