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4"/>
        <w:gridCol w:w="7920"/>
      </w:tblGrid>
      <w:tr w:rsidR="00DF5422" w:rsidRPr="00575D5D" w:rsidTr="00DF5422">
        <w:tc>
          <w:tcPr>
            <w:tcW w:w="8364" w:type="dxa"/>
          </w:tcPr>
          <w:p w:rsidR="00DF5422" w:rsidRPr="00575D5D" w:rsidRDefault="00DF5422" w:rsidP="00D57582">
            <w:pPr>
              <w:rPr>
                <w:color w:val="000000"/>
                <w:sz w:val="22"/>
                <w:szCs w:val="22"/>
              </w:rPr>
            </w:pPr>
            <w:r w:rsidRPr="00575D5D">
              <w:rPr>
                <w:color w:val="000000"/>
                <w:sz w:val="22"/>
                <w:szCs w:val="22"/>
              </w:rPr>
              <w:t>Številka:</w:t>
            </w:r>
            <w:r w:rsidR="00575D5D">
              <w:rPr>
                <w:color w:val="000000"/>
                <w:sz w:val="22"/>
                <w:szCs w:val="22"/>
              </w:rPr>
              <w:t>03204-3/2011-1</w:t>
            </w:r>
          </w:p>
        </w:tc>
        <w:tc>
          <w:tcPr>
            <w:tcW w:w="7920" w:type="dxa"/>
          </w:tcPr>
          <w:p w:rsidR="00DF5422" w:rsidRPr="00575D5D" w:rsidRDefault="00DF5422" w:rsidP="00D5758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</w:tc>
      </w:tr>
      <w:tr w:rsidR="00DF5422" w:rsidRPr="00575D5D" w:rsidTr="00DF5422">
        <w:tc>
          <w:tcPr>
            <w:tcW w:w="8364" w:type="dxa"/>
          </w:tcPr>
          <w:p w:rsidR="00DF5422" w:rsidRPr="00575D5D" w:rsidRDefault="00DF5422" w:rsidP="00DF5422">
            <w:pPr>
              <w:rPr>
                <w:color w:val="000000"/>
                <w:sz w:val="22"/>
                <w:szCs w:val="22"/>
              </w:rPr>
            </w:pPr>
            <w:r w:rsidRPr="00575D5D">
              <w:rPr>
                <w:color w:val="000000"/>
                <w:sz w:val="22"/>
                <w:szCs w:val="22"/>
              </w:rPr>
              <w:t>Datum:14.</w:t>
            </w:r>
            <w:r w:rsidR="00575D5D">
              <w:rPr>
                <w:color w:val="000000"/>
                <w:sz w:val="22"/>
                <w:szCs w:val="22"/>
              </w:rPr>
              <w:t>1.</w:t>
            </w:r>
            <w:r w:rsidRPr="00575D5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7920" w:type="dxa"/>
          </w:tcPr>
          <w:p w:rsidR="00DF5422" w:rsidRPr="00575D5D" w:rsidRDefault="00DF5422" w:rsidP="00D5758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</w:tc>
      </w:tr>
    </w:tbl>
    <w:p w:rsidR="00DF5422" w:rsidRPr="00575D5D" w:rsidRDefault="00DF5422" w:rsidP="00DF5422">
      <w:pPr>
        <w:rPr>
          <w:sz w:val="22"/>
          <w:szCs w:val="22"/>
        </w:rPr>
      </w:pPr>
    </w:p>
    <w:p w:rsidR="00DF5422" w:rsidRPr="00575D5D" w:rsidRDefault="00DF5422" w:rsidP="00DF5422">
      <w:pPr>
        <w:rPr>
          <w:sz w:val="22"/>
          <w:szCs w:val="22"/>
        </w:rPr>
      </w:pPr>
    </w:p>
    <w:p w:rsidR="00DF5422" w:rsidRPr="00575D5D" w:rsidRDefault="00DF5422" w:rsidP="00DF5422">
      <w:pPr>
        <w:jc w:val="center"/>
        <w:outlineLvl w:val="0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Z A P I S N I K</w:t>
      </w:r>
    </w:p>
    <w:p w:rsidR="00DF5422" w:rsidRPr="00575D5D" w:rsidRDefault="00DF5422" w:rsidP="00DF5422">
      <w:pPr>
        <w:jc w:val="center"/>
        <w:outlineLvl w:val="0"/>
        <w:rPr>
          <w:sz w:val="22"/>
          <w:szCs w:val="22"/>
        </w:rPr>
      </w:pPr>
      <w:r w:rsidRPr="00575D5D">
        <w:rPr>
          <w:sz w:val="22"/>
          <w:szCs w:val="22"/>
        </w:rPr>
        <w:t>1. seje Komisije za mednarodne odnose,</w:t>
      </w:r>
    </w:p>
    <w:p w:rsidR="00DF5422" w:rsidRPr="00575D5D" w:rsidRDefault="00DF5422" w:rsidP="00DF5422">
      <w:pPr>
        <w:jc w:val="center"/>
        <w:outlineLvl w:val="0"/>
        <w:rPr>
          <w:sz w:val="22"/>
          <w:szCs w:val="22"/>
        </w:rPr>
      </w:pPr>
      <w:r w:rsidRPr="00575D5D">
        <w:rPr>
          <w:sz w:val="22"/>
          <w:szCs w:val="22"/>
        </w:rPr>
        <w:t>ki je bila v sredo, 12. januarja 2011, ob 13.00 uri</w:t>
      </w:r>
    </w:p>
    <w:p w:rsidR="00DF5422" w:rsidRPr="00575D5D" w:rsidRDefault="00DF5422" w:rsidP="00DF5422">
      <w:pPr>
        <w:jc w:val="center"/>
        <w:outlineLvl w:val="0"/>
        <w:rPr>
          <w:sz w:val="22"/>
          <w:szCs w:val="22"/>
        </w:rPr>
      </w:pPr>
      <w:r w:rsidRPr="00575D5D">
        <w:rPr>
          <w:sz w:val="22"/>
          <w:szCs w:val="22"/>
        </w:rPr>
        <w:t>v Banketni dvorani, Magistrat, Mestni trg 1</w:t>
      </w:r>
    </w:p>
    <w:p w:rsidR="00DF5422" w:rsidRPr="00575D5D" w:rsidRDefault="00DF5422" w:rsidP="00DF5422">
      <w:pPr>
        <w:rPr>
          <w:sz w:val="22"/>
          <w:szCs w:val="22"/>
        </w:rPr>
      </w:pPr>
    </w:p>
    <w:p w:rsidR="00DF5422" w:rsidRPr="00575D5D" w:rsidRDefault="00DF5422" w:rsidP="00DF5422">
      <w:pPr>
        <w:rPr>
          <w:sz w:val="22"/>
          <w:szCs w:val="22"/>
        </w:rPr>
      </w:pPr>
    </w:p>
    <w:p w:rsidR="00DF5422" w:rsidRPr="00575D5D" w:rsidRDefault="00DF5422" w:rsidP="00DF5422">
      <w:pPr>
        <w:jc w:val="both"/>
        <w:rPr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1368"/>
        <w:gridCol w:w="8100"/>
      </w:tblGrid>
      <w:tr w:rsidR="00DF5422" w:rsidRPr="00575D5D" w:rsidTr="00D57582">
        <w:tc>
          <w:tcPr>
            <w:tcW w:w="1368" w:type="dxa"/>
          </w:tcPr>
          <w:p w:rsidR="00DF5422" w:rsidRPr="00575D5D" w:rsidRDefault="00DF5422" w:rsidP="00D57582">
            <w:pPr>
              <w:jc w:val="both"/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Navzoči:</w:t>
            </w:r>
          </w:p>
        </w:tc>
        <w:tc>
          <w:tcPr>
            <w:tcW w:w="8100" w:type="dxa"/>
          </w:tcPr>
          <w:p w:rsidR="00DF5422" w:rsidRPr="00575D5D" w:rsidRDefault="00DF5422" w:rsidP="00DF5422">
            <w:pPr>
              <w:jc w:val="both"/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Roman JAKIČ, Mitja MERŠOL, Tjaša FICKO, Aleš KARDLEJ, Marko ŠIŠKA,</w:t>
            </w:r>
            <w:r w:rsidR="00D57582" w:rsidRPr="00575D5D">
              <w:rPr>
                <w:sz w:val="22"/>
                <w:szCs w:val="22"/>
              </w:rPr>
              <w:t xml:space="preserve"> </w:t>
            </w:r>
            <w:r w:rsidRPr="00575D5D">
              <w:rPr>
                <w:sz w:val="22"/>
                <w:szCs w:val="22"/>
              </w:rPr>
              <w:t>Peter VILFAN</w:t>
            </w:r>
          </w:p>
        </w:tc>
      </w:tr>
    </w:tbl>
    <w:p w:rsidR="00DF5422" w:rsidRPr="00575D5D" w:rsidRDefault="00DF5422" w:rsidP="00DF5422">
      <w:pPr>
        <w:jc w:val="both"/>
        <w:rPr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1368"/>
        <w:gridCol w:w="8100"/>
      </w:tblGrid>
      <w:tr w:rsidR="00DF5422" w:rsidRPr="00575D5D" w:rsidTr="00D57582">
        <w:tc>
          <w:tcPr>
            <w:tcW w:w="1368" w:type="dxa"/>
          </w:tcPr>
          <w:p w:rsidR="00DF5422" w:rsidRPr="00575D5D" w:rsidRDefault="00DF5422" w:rsidP="00D57582">
            <w:pPr>
              <w:jc w:val="both"/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Odsotni:</w:t>
            </w:r>
          </w:p>
        </w:tc>
        <w:tc>
          <w:tcPr>
            <w:tcW w:w="8100" w:type="dxa"/>
          </w:tcPr>
          <w:p w:rsidR="00DF5422" w:rsidRPr="00575D5D" w:rsidRDefault="00DF5422" w:rsidP="00DF5422">
            <w:pPr>
              <w:jc w:val="both"/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 xml:space="preserve"> DR. Slavko ZIHERL(opr)</w:t>
            </w:r>
          </w:p>
        </w:tc>
      </w:tr>
    </w:tbl>
    <w:p w:rsidR="00DF5422" w:rsidRPr="00575D5D" w:rsidRDefault="00DF5422" w:rsidP="00DF5422">
      <w:pPr>
        <w:jc w:val="both"/>
        <w:rPr>
          <w:b/>
          <w:sz w:val="22"/>
          <w:szCs w:val="22"/>
        </w:rPr>
      </w:pPr>
    </w:p>
    <w:tbl>
      <w:tblPr>
        <w:tblW w:w="9468" w:type="dxa"/>
        <w:tblLook w:val="01E0"/>
      </w:tblPr>
      <w:tblGrid>
        <w:gridCol w:w="1728"/>
        <w:gridCol w:w="7740"/>
      </w:tblGrid>
      <w:tr w:rsidR="00DF5422" w:rsidRPr="00575D5D" w:rsidTr="00D57582">
        <w:tc>
          <w:tcPr>
            <w:tcW w:w="1728" w:type="dxa"/>
          </w:tcPr>
          <w:p w:rsidR="00DF5422" w:rsidRPr="00575D5D" w:rsidRDefault="00DF5422" w:rsidP="00D57582">
            <w:pPr>
              <w:jc w:val="both"/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Ostali navzoči:</w:t>
            </w:r>
          </w:p>
        </w:tc>
        <w:tc>
          <w:tcPr>
            <w:tcW w:w="7740" w:type="dxa"/>
          </w:tcPr>
          <w:p w:rsidR="00DF5422" w:rsidRPr="00575D5D" w:rsidRDefault="00DF5422" w:rsidP="00DF5422">
            <w:pPr>
              <w:jc w:val="both"/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 xml:space="preserve"> Tanja DODIG SODNIK,vodja, OMOP, Klement ČEPON,OMOP</w:t>
            </w:r>
          </w:p>
        </w:tc>
      </w:tr>
    </w:tbl>
    <w:p w:rsidR="00DF5422" w:rsidRPr="00575D5D" w:rsidRDefault="00DF5422" w:rsidP="00DF5422">
      <w:pPr>
        <w:jc w:val="both"/>
        <w:rPr>
          <w:b/>
          <w:sz w:val="22"/>
          <w:szCs w:val="22"/>
        </w:rPr>
      </w:pPr>
    </w:p>
    <w:p w:rsidR="00DF5422" w:rsidRPr="00575D5D" w:rsidRDefault="00DF5422" w:rsidP="00DF5422">
      <w:pPr>
        <w:rPr>
          <w:sz w:val="22"/>
          <w:szCs w:val="22"/>
        </w:rPr>
      </w:pPr>
      <w:r w:rsidRPr="00575D5D">
        <w:rPr>
          <w:sz w:val="22"/>
          <w:szCs w:val="22"/>
        </w:rPr>
        <w:t>Predsednik je pozdravil vse imenovane svetnike in meščane v komisijo ter predstavil predstavnike Odseka za mednarodne odnose in protokol.</w:t>
      </w:r>
    </w:p>
    <w:p w:rsidR="00DF5422" w:rsidRPr="00575D5D" w:rsidRDefault="00DF5422" w:rsidP="00DF5422">
      <w:pPr>
        <w:rPr>
          <w:sz w:val="22"/>
          <w:szCs w:val="22"/>
        </w:rPr>
      </w:pPr>
    </w:p>
    <w:p w:rsidR="00DF5422" w:rsidRPr="00575D5D" w:rsidRDefault="00DF5422" w:rsidP="00DF5422">
      <w:pPr>
        <w:outlineLvl w:val="0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Predlagan  je bil naslednji dnevni red:</w:t>
      </w:r>
    </w:p>
    <w:p w:rsidR="00DF5422" w:rsidRPr="00575D5D" w:rsidRDefault="00DF5422" w:rsidP="00DF542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Predstavitev Odseka za mednarodne odnose in protokol</w:t>
      </w:r>
    </w:p>
    <w:p w:rsidR="00DF5422" w:rsidRPr="00575D5D" w:rsidRDefault="00DF5422" w:rsidP="00DF542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Poročilo Odseka za mednarodne odnose in protokol o tekoči mednarodni aktivnosti Mestne občine Ljubljana ter predvideni načrt  za 2011</w:t>
      </w:r>
    </w:p>
    <w:p w:rsidR="00DF5422" w:rsidRPr="00575D5D" w:rsidRDefault="00DF5422" w:rsidP="00DF5422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Imenovanje podpredsednika Komisije za mednarodne odnose</w:t>
      </w:r>
    </w:p>
    <w:p w:rsidR="00DF5422" w:rsidRPr="00575D5D" w:rsidRDefault="00DF5422" w:rsidP="00DF5422">
      <w:pPr>
        <w:jc w:val="both"/>
        <w:rPr>
          <w:b/>
          <w:sz w:val="22"/>
          <w:szCs w:val="22"/>
        </w:rPr>
      </w:pPr>
      <w:r w:rsidRPr="00575D5D">
        <w:rPr>
          <w:b/>
          <w:sz w:val="22"/>
          <w:szCs w:val="22"/>
          <w:lang w:val="it-IT"/>
        </w:rPr>
        <w:t>4.</w:t>
      </w:r>
      <w:proofErr w:type="gramStart"/>
      <w:r w:rsidRPr="00575D5D">
        <w:rPr>
          <w:b/>
          <w:sz w:val="22"/>
          <w:szCs w:val="22"/>
          <w:lang w:val="it-IT"/>
        </w:rPr>
        <w:t xml:space="preserve">   </w:t>
      </w:r>
      <w:proofErr w:type="spellStart"/>
      <w:proofErr w:type="gramEnd"/>
      <w:r w:rsidRPr="00575D5D">
        <w:rPr>
          <w:b/>
          <w:sz w:val="22"/>
          <w:szCs w:val="22"/>
          <w:lang w:val="it-IT"/>
        </w:rPr>
        <w:t>Razno</w:t>
      </w:r>
      <w:proofErr w:type="spellEnd"/>
      <w:r w:rsidRPr="00575D5D">
        <w:rPr>
          <w:b/>
          <w:sz w:val="22"/>
          <w:szCs w:val="22"/>
          <w:lang w:val="it-IT"/>
        </w:rPr>
        <w:t>.</w:t>
      </w:r>
    </w:p>
    <w:p w:rsidR="00DF5422" w:rsidRPr="00575D5D" w:rsidRDefault="00DF5422" w:rsidP="00DF5422">
      <w:pPr>
        <w:outlineLvl w:val="0"/>
        <w:rPr>
          <w:b/>
          <w:sz w:val="22"/>
          <w:szCs w:val="22"/>
        </w:rPr>
      </w:pPr>
    </w:p>
    <w:p w:rsidR="00DF5422" w:rsidRPr="00575D5D" w:rsidRDefault="00D57582" w:rsidP="00DF5422">
      <w:pPr>
        <w:rPr>
          <w:sz w:val="22"/>
          <w:szCs w:val="22"/>
        </w:rPr>
      </w:pPr>
      <w:r w:rsidRPr="00575D5D">
        <w:rPr>
          <w:sz w:val="22"/>
          <w:szCs w:val="22"/>
        </w:rPr>
        <w:t>Strokovna služba je predlagala, da se pod točko razno obravnava tudi osnutek odlokov o Proračunu MOL za leti 2011 in 2012.</w:t>
      </w:r>
    </w:p>
    <w:p w:rsidR="00D57582" w:rsidRPr="00575D5D" w:rsidRDefault="00D57582" w:rsidP="00DF5422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DF5422" w:rsidRPr="00575D5D" w:rsidTr="00D57582">
        <w:tc>
          <w:tcPr>
            <w:tcW w:w="4928" w:type="dxa"/>
            <w:shd w:val="clear" w:color="auto" w:fill="C0C0C0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</w:p>
        </w:tc>
      </w:tr>
    </w:tbl>
    <w:p w:rsidR="00DF5422" w:rsidRPr="00575D5D" w:rsidRDefault="00DF5422" w:rsidP="00DF5422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DF5422" w:rsidRPr="00575D5D" w:rsidTr="00D57582">
        <w:tc>
          <w:tcPr>
            <w:tcW w:w="216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 xml:space="preserve">Predlagani dnevni red </w:t>
            </w:r>
          </w:p>
        </w:tc>
        <w:tc>
          <w:tcPr>
            <w:tcW w:w="540" w:type="dxa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16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DF5422" w:rsidRPr="00575D5D" w:rsidRDefault="00DF5422" w:rsidP="00DF5422">
      <w:pPr>
        <w:rPr>
          <w:sz w:val="22"/>
          <w:szCs w:val="22"/>
        </w:rPr>
      </w:pPr>
    </w:p>
    <w:p w:rsidR="00DF5422" w:rsidRPr="00575D5D" w:rsidRDefault="00DF5422" w:rsidP="00DF5422">
      <w:pPr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AD/1</w:t>
      </w:r>
    </w:p>
    <w:p w:rsidR="00DF5422" w:rsidRPr="00575D5D" w:rsidRDefault="00D57582" w:rsidP="00D57582">
      <w:pPr>
        <w:ind w:left="360"/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PREDSTAVITEV ODSEKA ZA MEDNARODNE ODNOSE IN PROTOKOL</w:t>
      </w:r>
    </w:p>
    <w:p w:rsidR="00DF5422" w:rsidRPr="00575D5D" w:rsidRDefault="00DF5422" w:rsidP="00DF5422">
      <w:pPr>
        <w:rPr>
          <w:sz w:val="22"/>
          <w:szCs w:val="22"/>
        </w:rPr>
      </w:pPr>
    </w:p>
    <w:p w:rsidR="00DF5422" w:rsidRPr="00575D5D" w:rsidRDefault="00D57582" w:rsidP="00DF5422">
      <w:pPr>
        <w:rPr>
          <w:sz w:val="22"/>
          <w:szCs w:val="22"/>
        </w:rPr>
      </w:pPr>
      <w:r w:rsidRPr="00575D5D">
        <w:rPr>
          <w:sz w:val="22"/>
          <w:szCs w:val="22"/>
        </w:rPr>
        <w:t xml:space="preserve">Predsedujoči je predstavil Vodjo odseka Tanjo </w:t>
      </w:r>
      <w:proofErr w:type="spellStart"/>
      <w:r w:rsidRPr="00575D5D">
        <w:rPr>
          <w:sz w:val="22"/>
          <w:szCs w:val="22"/>
        </w:rPr>
        <w:t>Dodig</w:t>
      </w:r>
      <w:proofErr w:type="spellEnd"/>
      <w:r w:rsidRPr="00575D5D">
        <w:rPr>
          <w:sz w:val="22"/>
          <w:szCs w:val="22"/>
        </w:rPr>
        <w:t xml:space="preserve"> Sodnik in strokovnega sodelavca Klementa Čepona.</w:t>
      </w:r>
    </w:p>
    <w:p w:rsidR="00DF5422" w:rsidRPr="00575D5D" w:rsidRDefault="00DF5422" w:rsidP="00DF5422">
      <w:pPr>
        <w:rPr>
          <w:sz w:val="22"/>
          <w:szCs w:val="22"/>
        </w:rPr>
      </w:pPr>
    </w:p>
    <w:p w:rsidR="00DF5422" w:rsidRPr="00575D5D" w:rsidRDefault="00DF5422" w:rsidP="00DF5422">
      <w:pPr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AD/2</w:t>
      </w:r>
    </w:p>
    <w:p w:rsidR="00D57582" w:rsidRPr="00575D5D" w:rsidRDefault="00D57582" w:rsidP="00D57582">
      <w:pPr>
        <w:ind w:left="360"/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POROČILO ODSEKA ZA MEDNARODNE ODNOSE IN PROTOKOL O TEKOČI MEDNARODNI AKTIVNOSTI MESTNE OBČINE LJUBLJANA TER PREDVIDENI NAČRT  ZA 2011</w:t>
      </w:r>
    </w:p>
    <w:p w:rsidR="00DF5422" w:rsidRPr="00575D5D" w:rsidRDefault="00DF5422" w:rsidP="00DF5422">
      <w:pPr>
        <w:jc w:val="both"/>
        <w:rPr>
          <w:sz w:val="22"/>
          <w:szCs w:val="22"/>
        </w:rPr>
      </w:pPr>
    </w:p>
    <w:p w:rsidR="00D57582" w:rsidRPr="00575D5D" w:rsidRDefault="007D2DAA" w:rsidP="00D57582">
      <w:pPr>
        <w:rPr>
          <w:sz w:val="22"/>
          <w:szCs w:val="22"/>
        </w:rPr>
      </w:pPr>
      <w:r w:rsidRPr="00575D5D">
        <w:rPr>
          <w:sz w:val="22"/>
          <w:szCs w:val="22"/>
        </w:rPr>
        <w:t>Gradiva je predstavila Tanja DODIG SODNIK. Dopolnil pa ga je Roman JAKIČ.</w:t>
      </w:r>
    </w:p>
    <w:p w:rsidR="007D2DAA" w:rsidRPr="00575D5D" w:rsidRDefault="007D2DAA" w:rsidP="00D57582">
      <w:pPr>
        <w:rPr>
          <w:sz w:val="22"/>
          <w:szCs w:val="22"/>
        </w:rPr>
      </w:pPr>
      <w:r w:rsidRPr="00575D5D">
        <w:rPr>
          <w:sz w:val="22"/>
          <w:szCs w:val="22"/>
        </w:rPr>
        <w:t>Člani komisije Marko ŠIŠKA, Peter VILFAN in Aleš KARDELJ so zaprosili za dostavo gradiva v papirni obliki.</w:t>
      </w:r>
    </w:p>
    <w:p w:rsidR="007D2DAA" w:rsidRPr="00575D5D" w:rsidRDefault="007D2DAA" w:rsidP="00D57582">
      <w:pPr>
        <w:rPr>
          <w:sz w:val="22"/>
          <w:szCs w:val="22"/>
        </w:rPr>
      </w:pPr>
    </w:p>
    <w:p w:rsidR="007D2DAA" w:rsidRPr="00575D5D" w:rsidRDefault="007D2DAA" w:rsidP="00D57582">
      <w:pPr>
        <w:rPr>
          <w:sz w:val="22"/>
          <w:szCs w:val="22"/>
        </w:rPr>
      </w:pPr>
      <w:r w:rsidRPr="00575D5D">
        <w:rPr>
          <w:sz w:val="22"/>
          <w:szCs w:val="22"/>
        </w:rPr>
        <w:lastRenderedPageBreak/>
        <w:t>V razpravi so sodelovali: Peter VILFAN in Aleš KARDELJ, Tanja DODIG SODNIK, Roman JAKIČ, Tjaša FICKO, Mitja MERŠOL, Klement ČEPON.</w:t>
      </w:r>
    </w:p>
    <w:p w:rsidR="00575D5D" w:rsidRPr="00575D5D" w:rsidRDefault="00575D5D" w:rsidP="00D57582">
      <w:pPr>
        <w:rPr>
          <w:sz w:val="22"/>
          <w:szCs w:val="22"/>
        </w:rPr>
      </w:pPr>
    </w:p>
    <w:p w:rsidR="00575D5D" w:rsidRPr="00575D5D" w:rsidRDefault="00575D5D" w:rsidP="00575D5D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 xml:space="preserve">Aleš KARDELJ je menil, da bo mesto moralo obnoviti nekdaj zelo dobro sodelovanje z mesti </w:t>
      </w:r>
      <w:proofErr w:type="spellStart"/>
      <w:r w:rsidRPr="00575D5D">
        <w:rPr>
          <w:sz w:val="22"/>
          <w:szCs w:val="22"/>
        </w:rPr>
        <w:t>Rijeka</w:t>
      </w:r>
      <w:proofErr w:type="spellEnd"/>
      <w:r w:rsidRPr="00575D5D">
        <w:rPr>
          <w:sz w:val="22"/>
          <w:szCs w:val="22"/>
        </w:rPr>
        <w:t xml:space="preserve"> in Zagreb, zaradi vključevanja Hrvaške v EU. Mitja MERŠOL je menil, da bi morali v strategijo mednarodnih odnosov mesta vključiti intenzivnejše sodelovanje s </w:t>
      </w:r>
      <w:proofErr w:type="spellStart"/>
      <w:r w:rsidRPr="00575D5D">
        <w:rPr>
          <w:sz w:val="22"/>
          <w:szCs w:val="22"/>
        </w:rPr>
        <w:t>Clevlendom</w:t>
      </w:r>
      <w:proofErr w:type="spellEnd"/>
      <w:r w:rsidRPr="00575D5D">
        <w:rPr>
          <w:sz w:val="22"/>
          <w:szCs w:val="22"/>
        </w:rPr>
        <w:t xml:space="preserve">, New Yorkom, Tbilisijem, Barcelono, Ženevo. Člane je obvestil, da je v Ljubljani ustanovljen </w:t>
      </w:r>
      <w:proofErr w:type="spellStart"/>
      <w:r w:rsidRPr="00575D5D">
        <w:rPr>
          <w:sz w:val="22"/>
          <w:szCs w:val="22"/>
        </w:rPr>
        <w:t>Inter</w:t>
      </w:r>
      <w:proofErr w:type="spellEnd"/>
      <w:r w:rsidRPr="00575D5D">
        <w:rPr>
          <w:sz w:val="22"/>
          <w:szCs w:val="22"/>
        </w:rPr>
        <w:t xml:space="preserve"> medijski mednarodni center za izobraževanje novinarjev, kar bo dobra priložnost za promocijo Ljubljane. Tjaša FICKO je menila, da se Ljubljana lahko uvrsti še bolje na</w:t>
      </w:r>
      <w:r w:rsidR="002C3F44">
        <w:rPr>
          <w:sz w:val="22"/>
          <w:szCs w:val="22"/>
        </w:rPr>
        <w:t xml:space="preserve"> </w:t>
      </w:r>
      <w:proofErr w:type="spellStart"/>
      <w:r w:rsidR="002C3F44">
        <w:rPr>
          <w:sz w:val="22"/>
          <w:szCs w:val="22"/>
        </w:rPr>
        <w:t>Mercerjevi</w:t>
      </w:r>
      <w:proofErr w:type="spellEnd"/>
      <w:r w:rsidR="002C3F44">
        <w:rPr>
          <w:sz w:val="22"/>
          <w:szCs w:val="22"/>
        </w:rPr>
        <w:t xml:space="preserve"> lestvici</w:t>
      </w:r>
      <w:r w:rsidR="00457CCB">
        <w:rPr>
          <w:sz w:val="22"/>
          <w:szCs w:val="22"/>
        </w:rPr>
        <w:t xml:space="preserve"> kakovosti življenja v mestu</w:t>
      </w:r>
      <w:r w:rsidRPr="00575D5D">
        <w:rPr>
          <w:sz w:val="22"/>
          <w:szCs w:val="22"/>
        </w:rPr>
        <w:t xml:space="preserve">. Roman JAKIČ je menil, da bi morali člani aktivno sodelovati pri oblikovanju strategije mednarodnih odnosov, ki bi jo komisija predstavila članom mestnega sveta MOL. Tanja DODIG </w:t>
      </w:r>
      <w:r w:rsidR="002C3F44">
        <w:rPr>
          <w:sz w:val="22"/>
          <w:szCs w:val="22"/>
        </w:rPr>
        <w:t>SODNIK</w:t>
      </w:r>
      <w:r w:rsidRPr="00575D5D">
        <w:rPr>
          <w:sz w:val="22"/>
          <w:szCs w:val="22"/>
        </w:rPr>
        <w:t xml:space="preserve"> je takšno sodelovanje pozdravila.</w:t>
      </w:r>
    </w:p>
    <w:p w:rsidR="007D2DAA" w:rsidRPr="00575D5D" w:rsidRDefault="007D2DAA" w:rsidP="00D57582">
      <w:pPr>
        <w:rPr>
          <w:sz w:val="22"/>
          <w:szCs w:val="22"/>
        </w:rPr>
      </w:pPr>
    </w:p>
    <w:p w:rsidR="007D2DAA" w:rsidRPr="00575D5D" w:rsidRDefault="007D2DAA" w:rsidP="007D2DAA">
      <w:pPr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AD 3</w:t>
      </w:r>
    </w:p>
    <w:p w:rsidR="007D2DAA" w:rsidRPr="00575D5D" w:rsidRDefault="007D2DAA" w:rsidP="007D2DAA">
      <w:pPr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IMENOVANJE PODPREDSEDNIKA KOMISIJE ZA MEDNARODNE ODNOSE</w:t>
      </w:r>
    </w:p>
    <w:p w:rsidR="007D2DAA" w:rsidRPr="00575D5D" w:rsidRDefault="007D2DAA" w:rsidP="00D57582">
      <w:pPr>
        <w:rPr>
          <w:sz w:val="22"/>
          <w:szCs w:val="22"/>
        </w:rPr>
      </w:pPr>
    </w:p>
    <w:p w:rsidR="007D2DAA" w:rsidRPr="00575D5D" w:rsidRDefault="007D2DAA" w:rsidP="00D57582">
      <w:pPr>
        <w:rPr>
          <w:sz w:val="22"/>
          <w:szCs w:val="22"/>
        </w:rPr>
      </w:pPr>
      <w:r w:rsidRPr="00575D5D">
        <w:rPr>
          <w:sz w:val="22"/>
          <w:szCs w:val="22"/>
        </w:rPr>
        <w:t>Predsedujoči je  za podpredsednika komisije predlagal Aleša KARDELJA.</w:t>
      </w:r>
    </w:p>
    <w:p w:rsidR="007D2DAA" w:rsidRPr="00575D5D" w:rsidRDefault="007D2DAA" w:rsidP="00D57582">
      <w:pPr>
        <w:rPr>
          <w:sz w:val="22"/>
          <w:szCs w:val="22"/>
        </w:rPr>
      </w:pPr>
      <w:r w:rsidRPr="00575D5D">
        <w:rPr>
          <w:sz w:val="22"/>
          <w:szCs w:val="22"/>
        </w:rPr>
        <w:t>Ker razprave ni bilo je dal na glasovanje naslednji</w:t>
      </w:r>
    </w:p>
    <w:p w:rsidR="007D2DAA" w:rsidRPr="00575D5D" w:rsidRDefault="007D2DAA" w:rsidP="00D57582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7D2DAA" w:rsidRPr="00575D5D" w:rsidTr="007D2DAA">
        <w:tc>
          <w:tcPr>
            <w:tcW w:w="4928" w:type="dxa"/>
            <w:shd w:val="clear" w:color="auto" w:fill="C0C0C0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</w:p>
        </w:tc>
      </w:tr>
      <w:tr w:rsidR="007D2DAA" w:rsidRPr="00575D5D" w:rsidTr="007D2DAA">
        <w:tc>
          <w:tcPr>
            <w:tcW w:w="4928" w:type="dxa"/>
            <w:shd w:val="clear" w:color="auto" w:fill="C0C0C0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</w:p>
        </w:tc>
      </w:tr>
    </w:tbl>
    <w:p w:rsidR="007D2DAA" w:rsidRPr="00575D5D" w:rsidRDefault="007D2DAA" w:rsidP="007D2DAA">
      <w:pPr>
        <w:rPr>
          <w:sz w:val="22"/>
          <w:szCs w:val="22"/>
        </w:rPr>
      </w:pPr>
    </w:p>
    <w:p w:rsidR="007D2DAA" w:rsidRPr="00575D5D" w:rsidRDefault="007D2DAA" w:rsidP="00D57582">
      <w:pPr>
        <w:rPr>
          <w:sz w:val="22"/>
          <w:szCs w:val="22"/>
        </w:rPr>
      </w:pPr>
    </w:p>
    <w:p w:rsidR="007D2DAA" w:rsidRPr="00575D5D" w:rsidRDefault="007D2DAA" w:rsidP="00D57582">
      <w:pPr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Za podpredsednika Komisije za mednarodne odnose se imenuje člana Aleša KARDELJA.</w:t>
      </w:r>
    </w:p>
    <w:p w:rsidR="007D2DAA" w:rsidRPr="00575D5D" w:rsidRDefault="007D2DAA" w:rsidP="00D57582">
      <w:pPr>
        <w:rPr>
          <w:sz w:val="22"/>
          <w:szCs w:val="22"/>
        </w:rPr>
      </w:pPr>
    </w:p>
    <w:p w:rsidR="007D2DAA" w:rsidRPr="00575D5D" w:rsidRDefault="007D2DAA" w:rsidP="00D57582">
      <w:pPr>
        <w:rPr>
          <w:sz w:val="22"/>
          <w:szCs w:val="22"/>
        </w:rPr>
      </w:pPr>
    </w:p>
    <w:tbl>
      <w:tblPr>
        <w:tblW w:w="9596" w:type="dxa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7D2DAA" w:rsidRPr="00575D5D" w:rsidTr="007D2DAA">
        <w:tc>
          <w:tcPr>
            <w:tcW w:w="216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SKLEP</w:t>
            </w:r>
          </w:p>
        </w:tc>
        <w:tc>
          <w:tcPr>
            <w:tcW w:w="540" w:type="dxa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16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7D2DAA" w:rsidRPr="00575D5D" w:rsidRDefault="007D2DAA" w:rsidP="00D57582">
      <w:pPr>
        <w:rPr>
          <w:sz w:val="22"/>
          <w:szCs w:val="22"/>
        </w:rPr>
      </w:pPr>
    </w:p>
    <w:p w:rsidR="007D2DAA" w:rsidRPr="00575D5D" w:rsidRDefault="007D2DAA" w:rsidP="007D2DAA">
      <w:pPr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AD 4</w:t>
      </w:r>
    </w:p>
    <w:p w:rsidR="007D2DAA" w:rsidRPr="00575D5D" w:rsidRDefault="007D2DAA" w:rsidP="007D2DAA">
      <w:pPr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RAZNO</w:t>
      </w:r>
    </w:p>
    <w:p w:rsidR="007D2DAA" w:rsidRPr="00575D5D" w:rsidRDefault="007D2DAA" w:rsidP="007D2DAA">
      <w:pPr>
        <w:jc w:val="both"/>
        <w:rPr>
          <w:b/>
          <w:sz w:val="22"/>
          <w:szCs w:val="22"/>
        </w:rPr>
      </w:pPr>
    </w:p>
    <w:p w:rsidR="007D2DAA" w:rsidRPr="00575D5D" w:rsidRDefault="007D2DAA" w:rsidP="00274457">
      <w:pPr>
        <w:pStyle w:val="Odstavekseznama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575D5D">
        <w:rPr>
          <w:b/>
          <w:sz w:val="22"/>
          <w:szCs w:val="22"/>
        </w:rPr>
        <w:t>Osnutke Odlokov o proračunu MOL za leti 2011 in 2012</w:t>
      </w:r>
      <w:r w:rsidRPr="00575D5D">
        <w:rPr>
          <w:sz w:val="22"/>
          <w:szCs w:val="22"/>
        </w:rPr>
        <w:t xml:space="preserve"> je za področje mednarodnih odnosov predstavila Tanja DODIG SODNIK.</w:t>
      </w:r>
    </w:p>
    <w:p w:rsidR="007D2DAA" w:rsidRPr="00575D5D" w:rsidRDefault="007D2DAA" w:rsidP="007D2DAA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V razpravi so sodelovali: Roman JAKIČ, Peter VILFAN, Mitja MERŠOL</w:t>
      </w:r>
      <w:r w:rsidR="00274457" w:rsidRPr="00575D5D">
        <w:rPr>
          <w:sz w:val="22"/>
          <w:szCs w:val="22"/>
        </w:rPr>
        <w:t>.</w:t>
      </w:r>
    </w:p>
    <w:p w:rsidR="00274457" w:rsidRPr="00575D5D" w:rsidRDefault="00274457" w:rsidP="007D2DAA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Predsedujoči je dal na glasovanje</w:t>
      </w:r>
    </w:p>
    <w:p w:rsidR="00274457" w:rsidRPr="00575D5D" w:rsidRDefault="00274457" w:rsidP="00274457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274457" w:rsidRPr="00575D5D" w:rsidTr="00274457">
        <w:tc>
          <w:tcPr>
            <w:tcW w:w="4928" w:type="dxa"/>
            <w:shd w:val="clear" w:color="auto" w:fill="C0C0C0"/>
            <w:hideMark/>
          </w:tcPr>
          <w:p w:rsidR="00274457" w:rsidRPr="00575D5D" w:rsidRDefault="00274457" w:rsidP="00274457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</w:p>
        </w:tc>
      </w:tr>
    </w:tbl>
    <w:p w:rsidR="00274457" w:rsidRPr="00575D5D" w:rsidRDefault="00274457" w:rsidP="00274457">
      <w:pPr>
        <w:jc w:val="both"/>
        <w:rPr>
          <w:b/>
          <w:sz w:val="22"/>
          <w:szCs w:val="22"/>
        </w:rPr>
      </w:pPr>
    </w:p>
    <w:p w:rsidR="00274457" w:rsidRPr="00575D5D" w:rsidRDefault="00274457" w:rsidP="00274457">
      <w:pPr>
        <w:jc w:val="both"/>
        <w:rPr>
          <w:b/>
          <w:color w:val="000000"/>
          <w:sz w:val="22"/>
          <w:szCs w:val="22"/>
        </w:rPr>
      </w:pPr>
      <w:r w:rsidRPr="00575D5D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Komisija za mednarodne odnose podpira sprejem </w:t>
      </w:r>
      <w:r w:rsidRPr="00575D5D">
        <w:rPr>
          <w:b/>
          <w:sz w:val="22"/>
          <w:szCs w:val="22"/>
        </w:rPr>
        <w:t xml:space="preserve">osnutka Odlokov o proračunu Mestne občine Ljubljana za leti 2011 in 2012 </w:t>
      </w:r>
      <w:r w:rsidRPr="00575D5D">
        <w:rPr>
          <w:b/>
          <w:color w:val="000000"/>
          <w:sz w:val="22"/>
          <w:szCs w:val="22"/>
        </w:rPr>
        <w:t>s področja pristojnosti komisije in ju predlaga pristojnemu Odboru za finance v sprejem.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</w:p>
    <w:p w:rsidR="00274457" w:rsidRPr="00575D5D" w:rsidRDefault="00274457" w:rsidP="00274457">
      <w:pPr>
        <w:rPr>
          <w:sz w:val="22"/>
          <w:szCs w:val="22"/>
        </w:rPr>
      </w:pPr>
      <w:r w:rsidRPr="00575D5D">
        <w:rPr>
          <w:sz w:val="22"/>
          <w:szCs w:val="22"/>
        </w:rPr>
        <w:t xml:space="preserve">Sklep je bil sprejet s </w:t>
      </w:r>
      <w:r w:rsidRPr="00575D5D">
        <w:rPr>
          <w:b/>
          <w:sz w:val="22"/>
          <w:szCs w:val="22"/>
        </w:rPr>
        <w:t xml:space="preserve">  6  </w:t>
      </w:r>
      <w:r w:rsidRPr="00575D5D">
        <w:rPr>
          <w:sz w:val="22"/>
          <w:szCs w:val="22"/>
        </w:rPr>
        <w:t xml:space="preserve"> glasovi  ZA  in  0</w:t>
      </w:r>
      <w:r w:rsidRPr="00575D5D">
        <w:rPr>
          <w:b/>
          <w:sz w:val="22"/>
          <w:szCs w:val="22"/>
        </w:rPr>
        <w:t xml:space="preserve">    </w:t>
      </w:r>
      <w:r w:rsidRPr="00575D5D">
        <w:rPr>
          <w:sz w:val="22"/>
          <w:szCs w:val="22"/>
        </w:rPr>
        <w:t xml:space="preserve">glasov PROTI  od </w:t>
      </w:r>
      <w:r w:rsidRPr="00575D5D">
        <w:rPr>
          <w:b/>
          <w:sz w:val="22"/>
          <w:szCs w:val="22"/>
        </w:rPr>
        <w:t xml:space="preserve">  6  </w:t>
      </w:r>
      <w:r w:rsidRPr="00575D5D">
        <w:rPr>
          <w:sz w:val="22"/>
          <w:szCs w:val="22"/>
        </w:rPr>
        <w:t>navzočih.</w:t>
      </w:r>
    </w:p>
    <w:p w:rsidR="00274457" w:rsidRPr="00575D5D" w:rsidRDefault="00274457" w:rsidP="007D2DAA">
      <w:pPr>
        <w:jc w:val="both"/>
        <w:rPr>
          <w:b/>
          <w:sz w:val="22"/>
          <w:szCs w:val="22"/>
        </w:rPr>
      </w:pPr>
    </w:p>
    <w:p w:rsidR="00274457" w:rsidRPr="00575D5D" w:rsidRDefault="00274457" w:rsidP="00274457">
      <w:pPr>
        <w:pStyle w:val="Odstavekseznama"/>
        <w:numPr>
          <w:ilvl w:val="0"/>
          <w:numId w:val="3"/>
        </w:numPr>
        <w:ind w:left="0" w:firstLine="0"/>
        <w:jc w:val="both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Roman JAKIČ je č</w:t>
      </w:r>
      <w:r w:rsidR="002C3F44">
        <w:rPr>
          <w:b/>
          <w:sz w:val="22"/>
          <w:szCs w:val="22"/>
        </w:rPr>
        <w:t xml:space="preserve">lane obvestil o sodelovanju z </w:t>
      </w:r>
      <w:r w:rsidRPr="00575D5D">
        <w:rPr>
          <w:b/>
          <w:sz w:val="22"/>
          <w:szCs w:val="22"/>
        </w:rPr>
        <w:t xml:space="preserve">Dunajem in </w:t>
      </w:r>
      <w:r w:rsidR="002C3F44">
        <w:rPr>
          <w:b/>
          <w:sz w:val="22"/>
          <w:szCs w:val="22"/>
        </w:rPr>
        <w:t xml:space="preserve">z </w:t>
      </w:r>
      <w:r w:rsidRPr="00575D5D">
        <w:rPr>
          <w:b/>
          <w:sz w:val="22"/>
          <w:szCs w:val="22"/>
        </w:rPr>
        <w:t xml:space="preserve">Budimpešto. </w:t>
      </w:r>
    </w:p>
    <w:p w:rsidR="00274457" w:rsidRPr="00575D5D" w:rsidRDefault="00274457" w:rsidP="00274457">
      <w:pPr>
        <w:pStyle w:val="Odstavekseznama"/>
        <w:ind w:left="0"/>
        <w:jc w:val="both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Na glasovanje je dal naslednji</w:t>
      </w:r>
    </w:p>
    <w:p w:rsidR="00274457" w:rsidRPr="00575D5D" w:rsidRDefault="00274457" w:rsidP="00274457">
      <w:pPr>
        <w:pStyle w:val="Odstavekseznama"/>
        <w:jc w:val="both"/>
        <w:rPr>
          <w:b/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274457" w:rsidRPr="00575D5D" w:rsidTr="00274457">
        <w:tc>
          <w:tcPr>
            <w:tcW w:w="4928" w:type="dxa"/>
            <w:shd w:val="clear" w:color="auto" w:fill="C0C0C0"/>
            <w:hideMark/>
          </w:tcPr>
          <w:p w:rsidR="00274457" w:rsidRPr="00575D5D" w:rsidRDefault="00274457" w:rsidP="00274457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</w:p>
        </w:tc>
      </w:tr>
    </w:tbl>
    <w:p w:rsidR="00274457" w:rsidRPr="00575D5D" w:rsidRDefault="00274457" w:rsidP="00274457">
      <w:pPr>
        <w:jc w:val="both"/>
        <w:rPr>
          <w:b/>
          <w:sz w:val="22"/>
          <w:szCs w:val="22"/>
        </w:rPr>
      </w:pPr>
    </w:p>
    <w:p w:rsidR="00274457" w:rsidRPr="00575D5D" w:rsidRDefault="00274457" w:rsidP="00274457">
      <w:pPr>
        <w:jc w:val="both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575D5D">
        <w:rPr>
          <w:rFonts w:ascii="TimesNewRomanPS-BoldMT" w:hAnsi="TimesNewRomanPS-BoldMT" w:cs="TimesNewRomanPS-BoldMT"/>
          <w:b/>
          <w:bCs/>
          <w:sz w:val="22"/>
          <w:szCs w:val="22"/>
        </w:rPr>
        <w:t>Komisija za mednarodne odnose podpira podaljšanje in podpis nove skupne izjave o sodelovanju med obema mestoma.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</w:p>
    <w:p w:rsidR="00274457" w:rsidRPr="00575D5D" w:rsidRDefault="00274457" w:rsidP="00274457">
      <w:pPr>
        <w:rPr>
          <w:sz w:val="22"/>
          <w:szCs w:val="22"/>
        </w:rPr>
      </w:pPr>
      <w:r w:rsidRPr="00575D5D">
        <w:rPr>
          <w:sz w:val="22"/>
          <w:szCs w:val="22"/>
        </w:rPr>
        <w:t xml:space="preserve">Sklep je bil sprejet s </w:t>
      </w:r>
      <w:r w:rsidRPr="00575D5D">
        <w:rPr>
          <w:b/>
          <w:sz w:val="22"/>
          <w:szCs w:val="22"/>
        </w:rPr>
        <w:t xml:space="preserve">  6  </w:t>
      </w:r>
      <w:r w:rsidRPr="00575D5D">
        <w:rPr>
          <w:sz w:val="22"/>
          <w:szCs w:val="22"/>
        </w:rPr>
        <w:t xml:space="preserve"> glasovi  ZA  in  0</w:t>
      </w:r>
      <w:r w:rsidRPr="00575D5D">
        <w:rPr>
          <w:b/>
          <w:sz w:val="22"/>
          <w:szCs w:val="22"/>
        </w:rPr>
        <w:t xml:space="preserve">    </w:t>
      </w:r>
      <w:r w:rsidRPr="00575D5D">
        <w:rPr>
          <w:sz w:val="22"/>
          <w:szCs w:val="22"/>
        </w:rPr>
        <w:t xml:space="preserve">glasov PROTI  od </w:t>
      </w:r>
      <w:r w:rsidRPr="00575D5D">
        <w:rPr>
          <w:b/>
          <w:sz w:val="22"/>
          <w:szCs w:val="22"/>
        </w:rPr>
        <w:t xml:space="preserve">  6  </w:t>
      </w:r>
      <w:r w:rsidRPr="00575D5D">
        <w:rPr>
          <w:sz w:val="22"/>
          <w:szCs w:val="22"/>
        </w:rPr>
        <w:t>navzočih.</w:t>
      </w:r>
    </w:p>
    <w:p w:rsidR="00274457" w:rsidRPr="00575D5D" w:rsidRDefault="00274457" w:rsidP="00274457">
      <w:pPr>
        <w:pStyle w:val="Odstavekseznama"/>
        <w:ind w:left="0"/>
        <w:jc w:val="both"/>
        <w:rPr>
          <w:b/>
          <w:sz w:val="22"/>
          <w:szCs w:val="22"/>
        </w:rPr>
      </w:pPr>
    </w:p>
    <w:p w:rsidR="00274457" w:rsidRPr="00575D5D" w:rsidRDefault="00274457" w:rsidP="00274457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Mitja MERŠOL je predlagal, da bi mesto vzpostavilo tesnejše stike z Slovensko hišo v Londonu zaradi morebitnega skupnega sodelovanja v času Olimpijade 2012.</w:t>
      </w:r>
    </w:p>
    <w:p w:rsidR="00274457" w:rsidRPr="00575D5D" w:rsidRDefault="00274457" w:rsidP="00274457">
      <w:pPr>
        <w:pStyle w:val="Odstavekseznama"/>
        <w:jc w:val="both"/>
        <w:rPr>
          <w:sz w:val="22"/>
          <w:szCs w:val="22"/>
        </w:rPr>
      </w:pPr>
    </w:p>
    <w:p w:rsidR="00274457" w:rsidRPr="00575D5D" w:rsidRDefault="00274457" w:rsidP="00274457">
      <w:pPr>
        <w:pStyle w:val="Odstavekseznama"/>
        <w:ind w:left="0"/>
        <w:jc w:val="both"/>
        <w:rPr>
          <w:sz w:val="22"/>
          <w:szCs w:val="22"/>
        </w:rPr>
      </w:pPr>
      <w:r w:rsidRPr="00575D5D">
        <w:rPr>
          <w:sz w:val="22"/>
          <w:szCs w:val="22"/>
        </w:rPr>
        <w:t>V razpravi so sodelovali : Tjaša FICKO, Roman JAKIČ, Tanja DODIG SODNIK.</w:t>
      </w:r>
    </w:p>
    <w:p w:rsidR="00274457" w:rsidRPr="00575D5D" w:rsidRDefault="00274457" w:rsidP="00274457">
      <w:pPr>
        <w:pStyle w:val="Odstavekseznama"/>
        <w:ind w:left="0"/>
        <w:jc w:val="both"/>
        <w:rPr>
          <w:sz w:val="22"/>
          <w:szCs w:val="22"/>
        </w:rPr>
      </w:pPr>
      <w:r w:rsidRPr="00575D5D">
        <w:rPr>
          <w:sz w:val="22"/>
          <w:szCs w:val="22"/>
        </w:rPr>
        <w:t>V razpravi se je oblikoval predlog, da se preveri možnosti pri Zavodu za turizem in se koordinira skupen nastop.</w:t>
      </w:r>
    </w:p>
    <w:p w:rsidR="00274457" w:rsidRPr="00575D5D" w:rsidRDefault="00274457" w:rsidP="00274457">
      <w:pPr>
        <w:pStyle w:val="Odstavekseznama"/>
        <w:ind w:left="0"/>
        <w:jc w:val="both"/>
        <w:rPr>
          <w:sz w:val="22"/>
          <w:szCs w:val="22"/>
        </w:rPr>
      </w:pPr>
    </w:p>
    <w:p w:rsidR="00274457" w:rsidRPr="00575D5D" w:rsidRDefault="00274457" w:rsidP="00274457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575D5D">
        <w:rPr>
          <w:sz w:val="22"/>
          <w:szCs w:val="22"/>
        </w:rPr>
        <w:t xml:space="preserve">Razporeditev sej komisije: v razpravi so člani oblikovali pobudo, da bi bile seje ob ponedeljkih ali torkih po 15 uri. Seje bodo predvidoma enkrat mesečno. Na eni izmed naslednjih sej bi predstavili članom projekt </w:t>
      </w:r>
      <w:proofErr w:type="spellStart"/>
      <w:r w:rsidRPr="00575D5D">
        <w:rPr>
          <w:sz w:val="22"/>
          <w:szCs w:val="22"/>
        </w:rPr>
        <w:t>Civitas</w:t>
      </w:r>
      <w:proofErr w:type="spellEnd"/>
      <w:r w:rsidRPr="00575D5D">
        <w:rPr>
          <w:sz w:val="22"/>
          <w:szCs w:val="22"/>
        </w:rPr>
        <w:t xml:space="preserve"> Elan.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S tem je bil dnevni red izčrpan.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Seja je bila končana ob 14.30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Zapisala: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Irena Strelec</w:t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  <w:t>Predsednik: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  <w:t>Roman JAKIČ</w:t>
      </w:r>
    </w:p>
    <w:sectPr w:rsidR="00274457" w:rsidRPr="00575D5D" w:rsidSect="00D5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457" w:rsidRDefault="00274457">
      <w:r>
        <w:separator/>
      </w:r>
    </w:p>
  </w:endnote>
  <w:endnote w:type="continuationSeparator" w:id="0">
    <w:p w:rsidR="00274457" w:rsidRDefault="0027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7" w:rsidRDefault="00274457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7" w:rsidRDefault="00274457" w:rsidP="00D57582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7" w:rsidRDefault="0027445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457" w:rsidRDefault="00274457">
      <w:r>
        <w:separator/>
      </w:r>
    </w:p>
  </w:footnote>
  <w:footnote w:type="continuationSeparator" w:id="0">
    <w:p w:rsidR="00274457" w:rsidRDefault="00274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7" w:rsidRDefault="00274457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7" w:rsidRDefault="00274457" w:rsidP="00D57582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7" w:rsidRPr="00246999" w:rsidRDefault="00274457" w:rsidP="00D57582">
    <w:pPr>
      <w:ind w:left="-1219"/>
    </w:pPr>
    <w:r>
      <w:rPr>
        <w:noProof/>
      </w:rPr>
      <w:drawing>
        <wp:inline distT="0" distB="0" distL="0" distR="0">
          <wp:extent cx="6349365" cy="830580"/>
          <wp:effectExtent l="19050" t="0" r="0" b="0"/>
          <wp:docPr id="1" name="Slika 1" descr="MS_komisija za mednarodne odn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mednarodne odno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5D88" w:rsidRPr="009E5D88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117"/>
    <w:multiLevelType w:val="hybridMultilevel"/>
    <w:tmpl w:val="BE2C5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4D0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A299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0C2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A22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1281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46AB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7E18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F831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ctiveWritingStyle w:appName="MSWord" w:lang="en-US" w:vendorID="6" w:dllVersion="2" w:checkStyle="1"/>
  <w:activeWritingStyle w:appName="MSWord" w:lang="it-IT" w:vendorID="3" w:dllVersion="517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582"/>
    <w:rsid w:val="00274457"/>
    <w:rsid w:val="002C3F44"/>
    <w:rsid w:val="00457CCB"/>
    <w:rsid w:val="00575D5D"/>
    <w:rsid w:val="007D2DAA"/>
    <w:rsid w:val="009E5D88"/>
    <w:rsid w:val="00D57582"/>
    <w:rsid w:val="00DF5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422"/>
    <w:rPr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DF5422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3Znak">
    <w:name w:val="Naslov 3 Znak"/>
    <w:basedOn w:val="Privzetapisavaodstavka"/>
    <w:link w:val="Naslov3"/>
    <w:rsid w:val="00DF5422"/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5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58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4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ji%20Dokumenti\KOMISIJA%20ZA%20MEDNARODNE%20ODNOSE\MS_komisija%20za%20mednarodne%20odnose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mednarodne odnose_CB</Template>
  <TotalTime>42</TotalTime>
  <Pages>3</Pages>
  <Words>662</Words>
  <Characters>3700</Characters>
  <Application>Microsoft Office Word</Application>
  <DocSecurity>0</DocSecurity>
  <Lines>30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  <vt:variant>
        <vt:lpstr>Title</vt:lpstr>
      </vt:variant>
      <vt:variant>
        <vt:i4>1</vt:i4>
      </vt:variant>
    </vt:vector>
  </HeadingPairs>
  <TitlesOfParts>
    <vt:vector size="8" baseType="lpstr">
      <vt:lpstr>Ime Priimek</vt:lpstr>
      <vt:lpstr>Z A P I S N I K</vt:lpstr>
      <vt:lpstr>1. seje Komisije za mednarodne odnose,</vt:lpstr>
      <vt:lpstr>ki je bila v sredo, 12. januarja 2011, ob 13.00 uri</vt:lpstr>
      <vt:lpstr>v Banketni dvorani, Magistrat, Mestni trg 1</vt:lpstr>
      <vt:lpstr>Predlagan  je bil naslednji dnevni red:</vt:lpstr>
      <vt:lpstr/>
      <vt:lpstr>Ime Priimek</vt:lpstr>
    </vt:vector>
  </TitlesOfParts>
  <Company>Mestna občina Ljubljana</Company>
  <LinksUpToDate>false</LinksUpToDate>
  <CharactersWithSpaces>4354</CharactersWithSpaces>
  <SharedDoc>false</SharedDoc>
  <HLinks>
    <vt:vector size="6" baseType="variant">
      <vt:variant>
        <vt:i4>7077898</vt:i4>
      </vt:variant>
      <vt:variant>
        <vt:i4>1545</vt:i4>
      </vt:variant>
      <vt:variant>
        <vt:i4>1027</vt:i4>
      </vt:variant>
      <vt:variant>
        <vt:i4>1</vt:i4>
      </vt:variant>
      <vt:variant>
        <vt:lpwstr>MS_komisija za mednarodne odnose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 irena strelec</dc:creator>
  <cp:keywords/>
  <cp:lastModifiedBy> irena strelec</cp:lastModifiedBy>
  <cp:revision>4</cp:revision>
  <cp:lastPrinted>2009-12-02T12:48:00Z</cp:lastPrinted>
  <dcterms:created xsi:type="dcterms:W3CDTF">2011-01-21T10:49:00Z</dcterms:created>
  <dcterms:modified xsi:type="dcterms:W3CDTF">2011-06-20T09:32:00Z</dcterms:modified>
</cp:coreProperties>
</file>