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92" w:rsidRDefault="004A1592" w:rsidP="004A1592">
      <w:pPr>
        <w:pStyle w:val="Naslov3"/>
        <w:tabs>
          <w:tab w:val="left" w:pos="9356"/>
        </w:tabs>
        <w:ind w:left="-1134"/>
        <w:rPr>
          <w:sz w:val="28"/>
          <w:szCs w:val="28"/>
        </w:rPr>
      </w:pPr>
      <w:r w:rsidRPr="00FC14D8">
        <w:rPr>
          <w:noProof/>
          <w:sz w:val="28"/>
          <w:szCs w:val="28"/>
        </w:rPr>
        <w:drawing>
          <wp:inline distT="0" distB="0" distL="0" distR="0" wp14:anchorId="00A532EF" wp14:editId="5C9F9B44">
            <wp:extent cx="6238875" cy="820659"/>
            <wp:effectExtent l="19050" t="0" r="0" b="0"/>
            <wp:docPr id="3" name="Slika 1" descr="MS_komisija za pobude obc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_komisija za pobude obcan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08" cy="82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92" w:rsidRDefault="004A1592" w:rsidP="004A1592">
      <w:pPr>
        <w:pStyle w:val="Naslov3"/>
        <w:tabs>
          <w:tab w:val="left" w:pos="9356"/>
        </w:tabs>
        <w:rPr>
          <w:sz w:val="28"/>
          <w:szCs w:val="28"/>
        </w:rPr>
      </w:pP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>Številka: 03203-1/2015-</w:t>
      </w:r>
      <w:r w:rsidR="00925FFE">
        <w:rPr>
          <w:sz w:val="22"/>
          <w:szCs w:val="22"/>
        </w:rPr>
        <w:t>4</w:t>
      </w:r>
      <w:bookmarkStart w:id="0" w:name="_GoBack"/>
      <w:bookmarkEnd w:id="0"/>
    </w:p>
    <w:p w:rsidR="004A1592" w:rsidRDefault="008035CA" w:rsidP="004A1592">
      <w:pPr>
        <w:rPr>
          <w:sz w:val="22"/>
          <w:szCs w:val="22"/>
        </w:rPr>
      </w:pPr>
      <w:r>
        <w:rPr>
          <w:sz w:val="22"/>
          <w:szCs w:val="22"/>
        </w:rPr>
        <w:t>Datum: 26. 2. 2015</w:t>
      </w: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>Komisija za pobude občanov</w:t>
      </w: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>Mestni svet Mestne občine Ljubljana</w:t>
      </w: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>Mestni trg 1</w:t>
      </w: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>1000 Ljubljana</w:t>
      </w: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 xml:space="preserve">Zadeva: </w:t>
      </w:r>
      <w:r w:rsidRPr="00240084">
        <w:rPr>
          <w:b/>
          <w:sz w:val="22"/>
          <w:szCs w:val="22"/>
        </w:rPr>
        <w:t>Predl</w:t>
      </w:r>
      <w:r>
        <w:rPr>
          <w:b/>
          <w:sz w:val="22"/>
          <w:szCs w:val="22"/>
        </w:rPr>
        <w:t>o</w:t>
      </w:r>
      <w:r w:rsidR="008035CA">
        <w:rPr>
          <w:b/>
          <w:sz w:val="22"/>
          <w:szCs w:val="22"/>
        </w:rPr>
        <w:t>g za razširitev dnevnega reda 2</w:t>
      </w:r>
      <w:r w:rsidRPr="00240084">
        <w:rPr>
          <w:b/>
          <w:sz w:val="22"/>
          <w:szCs w:val="22"/>
        </w:rPr>
        <w:t>. seje Komisije za pobude občanov</w:t>
      </w: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jc w:val="both"/>
        <w:rPr>
          <w:sz w:val="22"/>
          <w:szCs w:val="22"/>
        </w:rPr>
      </w:pPr>
      <w:r>
        <w:rPr>
          <w:sz w:val="22"/>
          <w:szCs w:val="22"/>
        </w:rPr>
        <w:t>Na podlagi 2. in 94. člena Poslovnika Mestnega sveta Mestne občine Ljubljana (Uradni list RS, št. 66/07 – uradno prečiščeno besedilo</w:t>
      </w:r>
      <w:r w:rsidR="008035CA">
        <w:rPr>
          <w:sz w:val="22"/>
          <w:szCs w:val="22"/>
        </w:rPr>
        <w:t xml:space="preserve"> in 21/14</w:t>
      </w:r>
      <w:r>
        <w:rPr>
          <w:sz w:val="22"/>
          <w:szCs w:val="22"/>
        </w:rPr>
        <w:t xml:space="preserve">) predlagam Komisiji za pobude občanov Mestnega sveta Mestne občine Ljubljana, </w:t>
      </w:r>
      <w:r w:rsidR="008035CA">
        <w:rPr>
          <w:sz w:val="22"/>
          <w:szCs w:val="22"/>
        </w:rPr>
        <w:t>da ob obravnavi dnevnega reda 2</w:t>
      </w:r>
      <w:r>
        <w:rPr>
          <w:sz w:val="22"/>
          <w:szCs w:val="22"/>
        </w:rPr>
        <w:t>. seje komisi</w:t>
      </w:r>
      <w:r w:rsidR="008035CA">
        <w:rPr>
          <w:sz w:val="22"/>
          <w:szCs w:val="22"/>
        </w:rPr>
        <w:t xml:space="preserve">je dne 4. 3. 2015 </w:t>
      </w:r>
      <w:r>
        <w:rPr>
          <w:sz w:val="22"/>
          <w:szCs w:val="22"/>
        </w:rPr>
        <w:t xml:space="preserve">sprejme naslednji </w:t>
      </w:r>
    </w:p>
    <w:p w:rsidR="004A1592" w:rsidRDefault="004A1592" w:rsidP="004A1592">
      <w:pPr>
        <w:rPr>
          <w:sz w:val="22"/>
          <w:szCs w:val="22"/>
        </w:rPr>
      </w:pPr>
    </w:p>
    <w:p w:rsidR="004A1592" w:rsidRPr="00240084" w:rsidRDefault="004A1592" w:rsidP="004A1592">
      <w:pPr>
        <w:rPr>
          <w:b/>
          <w:sz w:val="22"/>
          <w:szCs w:val="22"/>
        </w:rPr>
      </w:pPr>
      <w:r w:rsidRPr="00240084">
        <w:rPr>
          <w:b/>
          <w:sz w:val="22"/>
          <w:szCs w:val="22"/>
        </w:rPr>
        <w:t>PREDLOG SKLEPA:</w:t>
      </w:r>
    </w:p>
    <w:p w:rsidR="004A1592" w:rsidRPr="00091F6D" w:rsidRDefault="004A1592" w:rsidP="004A1592">
      <w:pPr>
        <w:rPr>
          <w:b/>
          <w:sz w:val="21"/>
          <w:szCs w:val="21"/>
        </w:rPr>
      </w:pPr>
    </w:p>
    <w:p w:rsidR="008035CA" w:rsidRDefault="008035CA" w:rsidP="004A1592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Dnevni red 2</w:t>
      </w:r>
      <w:r w:rsidR="004A1592" w:rsidRPr="00091F6D">
        <w:rPr>
          <w:b/>
          <w:sz w:val="21"/>
          <w:szCs w:val="21"/>
        </w:rPr>
        <w:t>. seje Komisije za pobude občanov Mestnega sveta</w:t>
      </w:r>
      <w:r>
        <w:rPr>
          <w:b/>
          <w:sz w:val="21"/>
          <w:szCs w:val="21"/>
        </w:rPr>
        <w:t xml:space="preserve"> Mestne občine Ljubljana z dne 4. 3. 2015</w:t>
      </w:r>
      <w:r w:rsidR="004A1592" w:rsidRPr="00091F6D">
        <w:rPr>
          <w:b/>
          <w:sz w:val="21"/>
          <w:szCs w:val="21"/>
        </w:rPr>
        <w:t xml:space="preserve"> se razširi z nov</w:t>
      </w:r>
      <w:r>
        <w:rPr>
          <w:b/>
          <w:sz w:val="21"/>
          <w:szCs w:val="21"/>
        </w:rPr>
        <w:t>o 6. točko z</w:t>
      </w:r>
      <w:r w:rsidR="004A1592" w:rsidRPr="00091F6D">
        <w:rPr>
          <w:b/>
          <w:sz w:val="21"/>
          <w:szCs w:val="21"/>
        </w:rPr>
        <w:t xml:space="preserve"> naslovom: </w:t>
      </w:r>
    </w:p>
    <w:p w:rsidR="008035CA" w:rsidRDefault="008035CA" w:rsidP="004A1592">
      <w:pPr>
        <w:jc w:val="both"/>
        <w:rPr>
          <w:b/>
          <w:sz w:val="21"/>
          <w:szCs w:val="21"/>
        </w:rPr>
      </w:pPr>
    </w:p>
    <w:p w:rsidR="004A1592" w:rsidRPr="00091F6D" w:rsidRDefault="004A1592" w:rsidP="004A1592">
      <w:pPr>
        <w:jc w:val="both"/>
        <w:rPr>
          <w:b/>
          <w:sz w:val="21"/>
          <w:szCs w:val="21"/>
        </w:rPr>
      </w:pPr>
      <w:r w:rsidRPr="00091F6D">
        <w:rPr>
          <w:b/>
          <w:sz w:val="21"/>
          <w:szCs w:val="21"/>
        </w:rPr>
        <w:t xml:space="preserve">»Pobuda </w:t>
      </w:r>
      <w:r w:rsidR="008035CA">
        <w:rPr>
          <w:b/>
          <w:sz w:val="21"/>
          <w:szCs w:val="21"/>
        </w:rPr>
        <w:t xml:space="preserve">svetnika dr. Nejca Brezovarja glede prometne varnosti na poti do </w:t>
      </w:r>
      <w:proofErr w:type="spellStart"/>
      <w:r w:rsidR="008035CA">
        <w:rPr>
          <w:b/>
          <w:sz w:val="21"/>
          <w:szCs w:val="21"/>
        </w:rPr>
        <w:t>British</w:t>
      </w:r>
      <w:proofErr w:type="spellEnd"/>
      <w:r w:rsidR="008035CA">
        <w:rPr>
          <w:b/>
          <w:sz w:val="21"/>
          <w:szCs w:val="21"/>
        </w:rPr>
        <w:t xml:space="preserve"> </w:t>
      </w:r>
      <w:proofErr w:type="spellStart"/>
      <w:r w:rsidR="008035CA">
        <w:rPr>
          <w:b/>
          <w:sz w:val="21"/>
          <w:szCs w:val="21"/>
        </w:rPr>
        <w:t>International</w:t>
      </w:r>
      <w:proofErr w:type="spellEnd"/>
      <w:r w:rsidR="008035CA">
        <w:rPr>
          <w:b/>
          <w:sz w:val="21"/>
          <w:szCs w:val="21"/>
        </w:rPr>
        <w:t xml:space="preserve"> </w:t>
      </w:r>
      <w:proofErr w:type="spellStart"/>
      <w:r w:rsidR="008035CA">
        <w:rPr>
          <w:b/>
          <w:sz w:val="21"/>
          <w:szCs w:val="21"/>
        </w:rPr>
        <w:t>School</w:t>
      </w:r>
      <w:proofErr w:type="spellEnd"/>
      <w:r w:rsidR="008035CA">
        <w:rPr>
          <w:b/>
          <w:sz w:val="21"/>
          <w:szCs w:val="21"/>
        </w:rPr>
        <w:t xml:space="preserve"> </w:t>
      </w:r>
      <w:proofErr w:type="spellStart"/>
      <w:r w:rsidR="008035CA">
        <w:rPr>
          <w:b/>
          <w:sz w:val="21"/>
          <w:szCs w:val="21"/>
        </w:rPr>
        <w:t>of</w:t>
      </w:r>
      <w:proofErr w:type="spellEnd"/>
      <w:r w:rsidR="008035CA">
        <w:rPr>
          <w:b/>
          <w:sz w:val="21"/>
          <w:szCs w:val="21"/>
        </w:rPr>
        <w:t xml:space="preserve"> Ljubljana z dne 25. 2</w:t>
      </w:r>
      <w:r w:rsidRPr="00091F6D">
        <w:rPr>
          <w:b/>
          <w:sz w:val="21"/>
          <w:szCs w:val="21"/>
        </w:rPr>
        <w:t xml:space="preserve">. </w:t>
      </w:r>
      <w:r w:rsidR="008035CA">
        <w:rPr>
          <w:b/>
          <w:sz w:val="21"/>
          <w:szCs w:val="21"/>
        </w:rPr>
        <w:t>2015</w:t>
      </w:r>
      <w:r w:rsidRPr="00091F6D">
        <w:rPr>
          <w:b/>
          <w:sz w:val="21"/>
          <w:szCs w:val="21"/>
        </w:rPr>
        <w:t xml:space="preserve">« </w:t>
      </w:r>
    </w:p>
    <w:p w:rsidR="004A1592" w:rsidRPr="00091F6D" w:rsidRDefault="004A1592" w:rsidP="004A1592">
      <w:pPr>
        <w:jc w:val="both"/>
        <w:rPr>
          <w:b/>
          <w:sz w:val="21"/>
          <w:szCs w:val="21"/>
        </w:rPr>
      </w:pPr>
    </w:p>
    <w:p w:rsidR="004A1592" w:rsidRPr="00091F6D" w:rsidRDefault="004A1592" w:rsidP="004A1592">
      <w:pPr>
        <w:jc w:val="both"/>
        <w:rPr>
          <w:b/>
          <w:sz w:val="21"/>
          <w:szCs w:val="21"/>
        </w:rPr>
      </w:pPr>
      <w:r w:rsidRPr="00091F6D">
        <w:rPr>
          <w:b/>
          <w:sz w:val="21"/>
          <w:szCs w:val="21"/>
        </w:rPr>
        <w:t xml:space="preserve">Dosedanja </w:t>
      </w:r>
      <w:r w:rsidR="008035CA">
        <w:rPr>
          <w:b/>
          <w:sz w:val="21"/>
          <w:szCs w:val="21"/>
        </w:rPr>
        <w:t>6</w:t>
      </w:r>
      <w:r w:rsidRPr="00091F6D">
        <w:rPr>
          <w:b/>
          <w:sz w:val="21"/>
          <w:szCs w:val="21"/>
        </w:rPr>
        <w:t>. točka z naslovom »Razno« se ustrezno preštevilči v točko 7.</w:t>
      </w:r>
    </w:p>
    <w:p w:rsidR="004A1592" w:rsidRPr="00091F6D" w:rsidRDefault="004A1592" w:rsidP="004A1592">
      <w:pPr>
        <w:rPr>
          <w:sz w:val="21"/>
          <w:szCs w:val="21"/>
        </w:rPr>
      </w:pPr>
    </w:p>
    <w:p w:rsidR="004A1592" w:rsidRPr="00091F6D" w:rsidRDefault="004A1592" w:rsidP="004A1592">
      <w:pPr>
        <w:rPr>
          <w:sz w:val="21"/>
          <w:szCs w:val="21"/>
        </w:rPr>
      </w:pPr>
    </w:p>
    <w:p w:rsidR="004A1592" w:rsidRDefault="004A1592" w:rsidP="004A1592">
      <w:pPr>
        <w:rPr>
          <w:sz w:val="22"/>
          <w:szCs w:val="22"/>
        </w:rPr>
      </w:pPr>
      <w:r>
        <w:rPr>
          <w:sz w:val="22"/>
          <w:szCs w:val="22"/>
        </w:rPr>
        <w:t xml:space="preserve">Obrazložitev: </w:t>
      </w:r>
    </w:p>
    <w:p w:rsidR="004A1592" w:rsidRDefault="004A1592" w:rsidP="004A1592">
      <w:pPr>
        <w:rPr>
          <w:sz w:val="22"/>
          <w:szCs w:val="22"/>
        </w:rPr>
      </w:pPr>
    </w:p>
    <w:p w:rsidR="004A1592" w:rsidRDefault="004A1592" w:rsidP="004A1592">
      <w:pPr>
        <w:jc w:val="both"/>
        <w:rPr>
          <w:sz w:val="22"/>
          <w:szCs w:val="22"/>
        </w:rPr>
      </w:pPr>
      <w:r>
        <w:rPr>
          <w:sz w:val="22"/>
          <w:szCs w:val="22"/>
        </w:rPr>
        <w:t>Pobud</w:t>
      </w:r>
      <w:r w:rsidR="008035CA">
        <w:rPr>
          <w:sz w:val="22"/>
          <w:szCs w:val="22"/>
        </w:rPr>
        <w:t xml:space="preserve">o je </w:t>
      </w:r>
      <w:r>
        <w:rPr>
          <w:sz w:val="22"/>
          <w:szCs w:val="22"/>
        </w:rPr>
        <w:t>Kom</w:t>
      </w:r>
      <w:r w:rsidR="008035CA">
        <w:rPr>
          <w:sz w:val="22"/>
          <w:szCs w:val="22"/>
        </w:rPr>
        <w:t>isija</w:t>
      </w:r>
      <w:r>
        <w:rPr>
          <w:sz w:val="22"/>
          <w:szCs w:val="22"/>
        </w:rPr>
        <w:t xml:space="preserve"> za pobude občanov </w:t>
      </w:r>
      <w:r w:rsidR="008035CA">
        <w:rPr>
          <w:sz w:val="22"/>
          <w:szCs w:val="22"/>
        </w:rPr>
        <w:t>prejela dne 25. 2. 2015, t</w:t>
      </w:r>
      <w:r>
        <w:rPr>
          <w:sz w:val="22"/>
          <w:szCs w:val="22"/>
        </w:rPr>
        <w:t>.</w:t>
      </w:r>
      <w:r w:rsidR="008035CA">
        <w:rPr>
          <w:sz w:val="22"/>
          <w:szCs w:val="22"/>
        </w:rPr>
        <w:t xml:space="preserve"> j. po sklicu 2</w:t>
      </w:r>
      <w:r>
        <w:rPr>
          <w:sz w:val="22"/>
          <w:szCs w:val="22"/>
        </w:rPr>
        <w:t>. seje komisije</w:t>
      </w:r>
      <w:r w:rsidR="008035CA">
        <w:rPr>
          <w:sz w:val="22"/>
          <w:szCs w:val="22"/>
        </w:rPr>
        <w:t xml:space="preserve"> z dne 18. 2. 2015</w:t>
      </w:r>
      <w:r>
        <w:rPr>
          <w:sz w:val="22"/>
          <w:szCs w:val="22"/>
        </w:rPr>
        <w:t>. Ker bo zaradi narave dela naslednja seja komisije sklicana predvidoma čez tri mesece,</w:t>
      </w:r>
      <w:r w:rsidR="008035CA">
        <w:rPr>
          <w:sz w:val="22"/>
          <w:szCs w:val="22"/>
        </w:rPr>
        <w:t xml:space="preserve"> predlagam, da se točka</w:t>
      </w:r>
      <w:r>
        <w:rPr>
          <w:sz w:val="22"/>
          <w:szCs w:val="22"/>
        </w:rPr>
        <w:t xml:space="preserve"> uvrsti na dnevn</w:t>
      </w:r>
      <w:r w:rsidR="008035CA">
        <w:rPr>
          <w:sz w:val="22"/>
          <w:szCs w:val="22"/>
        </w:rPr>
        <w:t>i red 2. seje komisije</w:t>
      </w:r>
      <w:r w:rsidR="0063490D">
        <w:rPr>
          <w:sz w:val="22"/>
          <w:szCs w:val="22"/>
        </w:rPr>
        <w:t xml:space="preserve">, ki bo </w:t>
      </w:r>
      <w:r w:rsidR="008035CA">
        <w:rPr>
          <w:sz w:val="22"/>
          <w:szCs w:val="22"/>
        </w:rPr>
        <w:t>dne 4. 3. 2015</w:t>
      </w:r>
      <w:r>
        <w:rPr>
          <w:sz w:val="22"/>
          <w:szCs w:val="22"/>
        </w:rPr>
        <w:t xml:space="preserve">. </w:t>
      </w:r>
    </w:p>
    <w:p w:rsidR="004A1592" w:rsidRDefault="004A1592" w:rsidP="004A1592">
      <w:pPr>
        <w:jc w:val="both"/>
        <w:rPr>
          <w:sz w:val="22"/>
          <w:szCs w:val="22"/>
        </w:rPr>
      </w:pPr>
    </w:p>
    <w:p w:rsidR="004A1592" w:rsidRDefault="004A1592" w:rsidP="004A1592">
      <w:pPr>
        <w:jc w:val="both"/>
        <w:rPr>
          <w:sz w:val="22"/>
          <w:szCs w:val="22"/>
        </w:rPr>
      </w:pPr>
    </w:p>
    <w:p w:rsidR="004A1592" w:rsidRPr="007E1D19" w:rsidRDefault="004A1592" w:rsidP="004A1592">
      <w:pPr>
        <w:pStyle w:val="Telobesedila"/>
        <w:rPr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60"/>
      </w:tblGrid>
      <w:tr w:rsidR="004A1592" w:rsidRPr="007E1D19" w:rsidTr="000542A5">
        <w:tc>
          <w:tcPr>
            <w:tcW w:w="4559" w:type="dxa"/>
          </w:tcPr>
          <w:p w:rsidR="004A1592" w:rsidRPr="007E1D19" w:rsidRDefault="004A1592" w:rsidP="000542A5">
            <w:pPr>
              <w:pStyle w:val="Telobesedila"/>
              <w:rPr>
                <w:b/>
                <w:sz w:val="22"/>
                <w:szCs w:val="22"/>
              </w:rPr>
            </w:pPr>
          </w:p>
        </w:tc>
        <w:tc>
          <w:tcPr>
            <w:tcW w:w="4560" w:type="dxa"/>
          </w:tcPr>
          <w:p w:rsidR="004A1592" w:rsidRPr="007E1D19" w:rsidRDefault="008035CA" w:rsidP="000542A5">
            <w:pPr>
              <w:pStyle w:val="Telobesedila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Ksenija Sever</w:t>
            </w:r>
            <w:r w:rsidR="004A1592" w:rsidRPr="007E1D19">
              <w:rPr>
                <w:i/>
                <w:sz w:val="22"/>
                <w:szCs w:val="22"/>
              </w:rPr>
              <w:t>, l. r.</w:t>
            </w:r>
          </w:p>
          <w:p w:rsidR="004A1592" w:rsidRPr="007E1D19" w:rsidRDefault="008035CA" w:rsidP="000542A5">
            <w:pPr>
              <w:pStyle w:val="Telobesedila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Predsednica</w:t>
            </w:r>
          </w:p>
          <w:p w:rsidR="004A1592" w:rsidRPr="007E1D19" w:rsidRDefault="004A1592" w:rsidP="000542A5">
            <w:pPr>
              <w:pStyle w:val="Telobesedila"/>
              <w:rPr>
                <w:b/>
                <w:sz w:val="22"/>
                <w:szCs w:val="22"/>
              </w:rPr>
            </w:pPr>
          </w:p>
        </w:tc>
      </w:tr>
    </w:tbl>
    <w:p w:rsidR="004A1592" w:rsidRPr="000B7086" w:rsidRDefault="004A1592" w:rsidP="004A1592">
      <w:pPr>
        <w:rPr>
          <w:sz w:val="22"/>
          <w:szCs w:val="22"/>
        </w:rPr>
      </w:pPr>
    </w:p>
    <w:p w:rsidR="004A1592" w:rsidRPr="000B7086" w:rsidRDefault="008035CA" w:rsidP="004A1592">
      <w:pPr>
        <w:rPr>
          <w:sz w:val="22"/>
          <w:szCs w:val="22"/>
        </w:rPr>
      </w:pPr>
      <w:r>
        <w:rPr>
          <w:sz w:val="22"/>
          <w:szCs w:val="22"/>
        </w:rPr>
        <w:t>Priloga: pobuda</w:t>
      </w:r>
    </w:p>
    <w:p w:rsidR="00196648" w:rsidRDefault="00925FFE"/>
    <w:sectPr w:rsidR="00196648" w:rsidSect="00BA4DF4">
      <w:footerReference w:type="even" r:id="rId8"/>
      <w:footerReference w:type="default" r:id="rId9"/>
      <w:pgSz w:w="11906" w:h="16838"/>
      <w:pgMar w:top="1701" w:right="851" w:bottom="170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FFE">
      <w:r>
        <w:separator/>
      </w:r>
    </w:p>
  </w:endnote>
  <w:endnote w:type="continuationSeparator" w:id="0">
    <w:p w:rsidR="00000000" w:rsidRDefault="009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9C" w:rsidRDefault="006735B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255C9C" w:rsidRDefault="00925F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9C" w:rsidRDefault="006735B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035CA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255C9C" w:rsidRDefault="00925FF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5FFE">
      <w:r>
        <w:separator/>
      </w:r>
    </w:p>
  </w:footnote>
  <w:footnote w:type="continuationSeparator" w:id="0">
    <w:p w:rsidR="00000000" w:rsidRDefault="0092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92"/>
    <w:rsid w:val="004A1592"/>
    <w:rsid w:val="00617BD4"/>
    <w:rsid w:val="0063490D"/>
    <w:rsid w:val="006735BC"/>
    <w:rsid w:val="008035CA"/>
    <w:rsid w:val="00925FFE"/>
    <w:rsid w:val="00C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A1592"/>
    <w:pPr>
      <w:keepNext/>
      <w:ind w:right="624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4A159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4A15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159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4A1592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4A1592"/>
    <w:pPr>
      <w:widowControl w:val="0"/>
      <w:ind w:right="283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A159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4A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15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159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A1592"/>
    <w:pPr>
      <w:keepNext/>
      <w:ind w:right="624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4A159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4A15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159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4A1592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4A1592"/>
    <w:pPr>
      <w:widowControl w:val="0"/>
      <w:ind w:right="283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A159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4A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15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159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weithauser</dc:creator>
  <cp:lastModifiedBy>weithauser</cp:lastModifiedBy>
  <cp:revision>3</cp:revision>
  <dcterms:created xsi:type="dcterms:W3CDTF">2015-02-26T09:33:00Z</dcterms:created>
  <dcterms:modified xsi:type="dcterms:W3CDTF">2015-02-26T10:44:00Z</dcterms:modified>
</cp:coreProperties>
</file>