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98" w:rsidRPr="009B763B" w:rsidRDefault="009872FB" w:rsidP="00EC2098">
      <w:pPr>
        <w:rPr>
          <w:szCs w:val="22"/>
          <w:lang w:val="sl-SI"/>
        </w:rPr>
      </w:pPr>
      <w:r>
        <w:rPr>
          <w:szCs w:val="22"/>
          <w:lang w:val="sl-SI"/>
        </w:rPr>
        <w:t>Štev.: 900-205</w:t>
      </w:r>
      <w:r w:rsidR="00393012">
        <w:rPr>
          <w:szCs w:val="22"/>
          <w:lang w:val="sl-SI"/>
        </w:rPr>
        <w:t>/201</w:t>
      </w:r>
      <w:r w:rsidR="00CE3D42">
        <w:rPr>
          <w:szCs w:val="22"/>
          <w:lang w:val="sl-SI"/>
        </w:rPr>
        <w:t>3</w:t>
      </w:r>
      <w:r w:rsidR="00393012">
        <w:rPr>
          <w:szCs w:val="22"/>
          <w:lang w:val="sl-SI"/>
        </w:rPr>
        <w:t>-</w:t>
      </w:r>
      <w:r>
        <w:rPr>
          <w:szCs w:val="22"/>
          <w:lang w:val="sl-SI"/>
        </w:rPr>
        <w:t>5</w:t>
      </w:r>
    </w:p>
    <w:p w:rsidR="00EC2098" w:rsidRPr="009B763B" w:rsidRDefault="00891EAC" w:rsidP="00EC2098">
      <w:pPr>
        <w:rPr>
          <w:szCs w:val="22"/>
          <w:lang w:val="sl-SI"/>
        </w:rPr>
      </w:pPr>
      <w:r>
        <w:rPr>
          <w:szCs w:val="22"/>
          <w:lang w:val="sl-SI"/>
        </w:rPr>
        <w:t>Datum:</w:t>
      </w:r>
      <w:r w:rsidR="00594F19">
        <w:rPr>
          <w:szCs w:val="22"/>
          <w:lang w:val="sl-SI"/>
        </w:rPr>
        <w:t xml:space="preserve"> 28.11</w:t>
      </w:r>
      <w:r w:rsidR="00CE3D42">
        <w:rPr>
          <w:szCs w:val="22"/>
          <w:lang w:val="sl-SI"/>
        </w:rPr>
        <w:t>.2013</w:t>
      </w:r>
      <w:r w:rsidR="00ED6605">
        <w:rPr>
          <w:szCs w:val="22"/>
          <w:lang w:val="sl-SI"/>
        </w:rPr>
        <w:tab/>
      </w:r>
    </w:p>
    <w:p w:rsidR="00EC2098" w:rsidRPr="009B763B" w:rsidRDefault="00EC2098" w:rsidP="00EC2098">
      <w:pPr>
        <w:rPr>
          <w:szCs w:val="22"/>
          <w:lang w:val="sl-SI"/>
        </w:rPr>
      </w:pPr>
    </w:p>
    <w:p w:rsidR="00EC2098" w:rsidRPr="009B763B" w:rsidRDefault="00393012" w:rsidP="00EC2098">
      <w:pPr>
        <w:rPr>
          <w:szCs w:val="22"/>
          <w:lang w:val="sl-SI"/>
        </w:rPr>
      </w:pP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  <w:t xml:space="preserve">  </w:t>
      </w:r>
    </w:p>
    <w:p w:rsidR="00EC2098" w:rsidRPr="009B763B" w:rsidRDefault="00EC2098" w:rsidP="00EC2098">
      <w:pPr>
        <w:jc w:val="right"/>
        <w:rPr>
          <w:szCs w:val="22"/>
          <w:lang w:val="sl-SI"/>
        </w:rPr>
      </w:pPr>
    </w:p>
    <w:p w:rsidR="00EC2098" w:rsidRPr="009B763B" w:rsidRDefault="00EC2098" w:rsidP="00EC2098">
      <w:pPr>
        <w:jc w:val="center"/>
        <w:outlineLvl w:val="0"/>
        <w:rPr>
          <w:b/>
          <w:szCs w:val="22"/>
          <w:lang w:val="sl-SI"/>
        </w:rPr>
      </w:pPr>
      <w:r w:rsidRPr="009B763B">
        <w:rPr>
          <w:b/>
          <w:szCs w:val="22"/>
          <w:lang w:val="sl-SI"/>
        </w:rPr>
        <w:t>Z A P I S N I K</w:t>
      </w:r>
    </w:p>
    <w:p w:rsidR="00EC2098" w:rsidRPr="007E7B4C" w:rsidRDefault="00EC2098" w:rsidP="00EC2098">
      <w:pPr>
        <w:jc w:val="both"/>
        <w:rPr>
          <w:b/>
          <w:szCs w:val="22"/>
          <w:lang w:val="sl-SI"/>
        </w:rPr>
      </w:pPr>
    </w:p>
    <w:p w:rsidR="00EC2098" w:rsidRPr="007E7B4C" w:rsidRDefault="00B42B61" w:rsidP="00DD550A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15</w:t>
      </w:r>
      <w:r w:rsidR="00EC2098" w:rsidRPr="007E7B4C">
        <w:rPr>
          <w:szCs w:val="22"/>
          <w:lang w:val="sl-SI"/>
        </w:rPr>
        <w:t>. korespondenčne – telefonske seje Sveta Četrtne skupnosti Bežigra</w:t>
      </w:r>
      <w:r w:rsidR="00BA6967" w:rsidRPr="007E7B4C">
        <w:rPr>
          <w:szCs w:val="22"/>
          <w:lang w:val="sl-SI"/>
        </w:rPr>
        <w:t xml:space="preserve">d </w:t>
      </w:r>
      <w:r w:rsidR="00EB0BC2" w:rsidRPr="007E7B4C">
        <w:rPr>
          <w:szCs w:val="22"/>
          <w:lang w:val="sl-SI"/>
        </w:rPr>
        <w:t>Mestne občine Ljubljana z dne</w:t>
      </w:r>
      <w:r>
        <w:rPr>
          <w:szCs w:val="22"/>
          <w:lang w:val="sl-SI"/>
        </w:rPr>
        <w:t xml:space="preserve"> 21.10</w:t>
      </w:r>
      <w:r w:rsidR="007E7B4C" w:rsidRPr="007E7B4C">
        <w:rPr>
          <w:szCs w:val="22"/>
          <w:lang w:val="sl-SI"/>
        </w:rPr>
        <w:t>.2013</w:t>
      </w:r>
      <w:r w:rsidR="00EC2098" w:rsidRPr="007E7B4C">
        <w:rPr>
          <w:szCs w:val="22"/>
          <w:lang w:val="sl-SI"/>
        </w:rPr>
        <w:t>, ki je bila sklicana dne</w:t>
      </w:r>
      <w:r w:rsidR="009B763B" w:rsidRPr="007E7B4C">
        <w:rPr>
          <w:szCs w:val="22"/>
          <w:lang w:val="sl-SI"/>
        </w:rPr>
        <w:t xml:space="preserve"> </w:t>
      </w:r>
      <w:r>
        <w:rPr>
          <w:szCs w:val="22"/>
          <w:lang w:val="sl-SI"/>
        </w:rPr>
        <w:t>16.10</w:t>
      </w:r>
      <w:r w:rsidR="007E7B4C" w:rsidRPr="007E7B4C">
        <w:rPr>
          <w:szCs w:val="22"/>
          <w:lang w:val="sl-SI"/>
        </w:rPr>
        <w:t>.2013</w:t>
      </w:r>
      <w:r w:rsidR="00EC2098" w:rsidRPr="007E7B4C">
        <w:rPr>
          <w:szCs w:val="22"/>
          <w:lang w:val="sl-SI"/>
        </w:rPr>
        <w:t xml:space="preserve">. </w:t>
      </w:r>
    </w:p>
    <w:p w:rsidR="00EC2098" w:rsidRPr="007E7B4C" w:rsidRDefault="00EC2098" w:rsidP="00DD550A">
      <w:pPr>
        <w:jc w:val="both"/>
        <w:rPr>
          <w:szCs w:val="22"/>
          <w:lang w:val="sl-SI"/>
        </w:rPr>
      </w:pPr>
      <w:r w:rsidRPr="007E7B4C">
        <w:rPr>
          <w:szCs w:val="22"/>
          <w:lang w:val="sl-SI"/>
        </w:rPr>
        <w:t xml:space="preserve">Telefonsko </w:t>
      </w:r>
      <w:r w:rsidR="00B42B61">
        <w:rPr>
          <w:szCs w:val="22"/>
          <w:lang w:val="sl-SI"/>
        </w:rPr>
        <w:t>glasovanje 15</w:t>
      </w:r>
      <w:r w:rsidRPr="007E7B4C">
        <w:rPr>
          <w:szCs w:val="22"/>
          <w:lang w:val="sl-SI"/>
        </w:rPr>
        <w:t xml:space="preserve">. kor. seje se je pričelo  </w:t>
      </w:r>
      <w:r w:rsidR="00B42B61">
        <w:rPr>
          <w:szCs w:val="22"/>
          <w:lang w:val="sl-SI"/>
        </w:rPr>
        <w:t>21.10</w:t>
      </w:r>
      <w:r w:rsidR="007E7B4C" w:rsidRPr="007E7B4C">
        <w:rPr>
          <w:szCs w:val="22"/>
          <w:lang w:val="sl-SI"/>
        </w:rPr>
        <w:t>.2013</w:t>
      </w:r>
      <w:r w:rsidR="00ED6605" w:rsidRPr="007E7B4C">
        <w:rPr>
          <w:szCs w:val="22"/>
          <w:lang w:val="sl-SI"/>
        </w:rPr>
        <w:t xml:space="preserve"> </w:t>
      </w:r>
      <w:r w:rsidR="00DA1CD0" w:rsidRPr="007E7B4C">
        <w:rPr>
          <w:szCs w:val="22"/>
          <w:lang w:val="sl-SI"/>
        </w:rPr>
        <w:t>ob 1</w:t>
      </w:r>
      <w:r w:rsidR="007E7B4C" w:rsidRPr="007E7B4C">
        <w:rPr>
          <w:szCs w:val="22"/>
          <w:lang w:val="sl-SI"/>
        </w:rPr>
        <w:t>0</w:t>
      </w:r>
      <w:r w:rsidRPr="007E7B4C">
        <w:rPr>
          <w:szCs w:val="22"/>
          <w:lang w:val="sl-SI"/>
        </w:rPr>
        <w:t>. uri in je potekalo do 1</w:t>
      </w:r>
      <w:r w:rsidR="007E7B4C" w:rsidRPr="007E7B4C">
        <w:rPr>
          <w:szCs w:val="22"/>
          <w:lang w:val="sl-SI"/>
        </w:rPr>
        <w:t>2</w:t>
      </w:r>
      <w:r w:rsidRPr="007E7B4C">
        <w:rPr>
          <w:szCs w:val="22"/>
          <w:lang w:val="sl-SI"/>
        </w:rPr>
        <w:t xml:space="preserve">. ure. </w:t>
      </w:r>
    </w:p>
    <w:p w:rsidR="00EC2098" w:rsidRPr="007E7B4C" w:rsidRDefault="00EC2098" w:rsidP="00DD550A">
      <w:pPr>
        <w:jc w:val="both"/>
        <w:rPr>
          <w:szCs w:val="22"/>
          <w:lang w:val="sl-SI"/>
        </w:rPr>
      </w:pPr>
      <w:r w:rsidRPr="007E7B4C">
        <w:rPr>
          <w:szCs w:val="22"/>
          <w:lang w:val="sl-SI"/>
        </w:rPr>
        <w:t>Sejo je sklical predsedni</w:t>
      </w:r>
      <w:r w:rsidR="009B763B" w:rsidRPr="007E7B4C">
        <w:rPr>
          <w:szCs w:val="22"/>
          <w:lang w:val="sl-SI"/>
        </w:rPr>
        <w:t>k</w:t>
      </w:r>
      <w:r w:rsidRPr="007E7B4C">
        <w:rPr>
          <w:szCs w:val="22"/>
          <w:lang w:val="sl-SI"/>
        </w:rPr>
        <w:t xml:space="preserve"> Sveta Četrtne skupnosti Bežigrad Mestne občine Ljubljana, g</w:t>
      </w:r>
      <w:r w:rsidR="009B763B" w:rsidRPr="007E7B4C">
        <w:rPr>
          <w:szCs w:val="22"/>
          <w:lang w:val="sl-SI"/>
        </w:rPr>
        <w:t>.</w:t>
      </w:r>
      <w:r w:rsidR="00EB0BC2" w:rsidRPr="007E7B4C">
        <w:rPr>
          <w:szCs w:val="22"/>
          <w:lang w:val="sl-SI"/>
        </w:rPr>
        <w:t xml:space="preserve"> Jernej Zupanc</w:t>
      </w:r>
      <w:r w:rsidRPr="007E7B4C">
        <w:rPr>
          <w:szCs w:val="22"/>
          <w:lang w:val="sl-SI"/>
        </w:rPr>
        <w:t>.</w:t>
      </w:r>
    </w:p>
    <w:p w:rsidR="00EC2098" w:rsidRPr="00EF56F2" w:rsidRDefault="00EC2098" w:rsidP="00DD550A">
      <w:pPr>
        <w:jc w:val="both"/>
        <w:rPr>
          <w:color w:val="FF0000"/>
          <w:szCs w:val="22"/>
          <w:lang w:val="sl-SI"/>
        </w:rPr>
      </w:pPr>
    </w:p>
    <w:p w:rsidR="00EC2098" w:rsidRPr="007E7B4C" w:rsidRDefault="00EC2098" w:rsidP="00DD550A">
      <w:pPr>
        <w:jc w:val="both"/>
        <w:outlineLvl w:val="0"/>
        <w:rPr>
          <w:szCs w:val="22"/>
          <w:lang w:val="sl-SI"/>
        </w:rPr>
      </w:pPr>
      <w:r w:rsidRPr="007E7B4C">
        <w:rPr>
          <w:szCs w:val="22"/>
          <w:lang w:val="sl-SI"/>
        </w:rPr>
        <w:t xml:space="preserve">Določen je bil naslednji  </w:t>
      </w:r>
      <w:r w:rsidRPr="007E7B4C">
        <w:rPr>
          <w:b/>
          <w:szCs w:val="22"/>
          <w:lang w:val="sl-SI"/>
        </w:rPr>
        <w:t>d n e v n i  r e d:</w:t>
      </w:r>
    </w:p>
    <w:p w:rsidR="000D4D09" w:rsidRPr="000D4D09" w:rsidRDefault="000D4D09" w:rsidP="000D4D09">
      <w:pPr>
        <w:pStyle w:val="Odstavekseznama"/>
        <w:numPr>
          <w:ilvl w:val="0"/>
          <w:numId w:val="22"/>
        </w:numPr>
        <w:contextualSpacing w:val="0"/>
        <w:rPr>
          <w:rFonts w:ascii="Times New Roman" w:hAnsi="Times New Roman"/>
          <w:b/>
        </w:rPr>
      </w:pPr>
      <w:r w:rsidRPr="000D4D09">
        <w:rPr>
          <w:rFonts w:ascii="Times New Roman" w:hAnsi="Times New Roman"/>
          <w:b/>
        </w:rPr>
        <w:t>Rebalans proračuna MOL za leto 2014 – spremembe Finančnega načrta in Plana malih ČS Bežigrad</w:t>
      </w:r>
    </w:p>
    <w:p w:rsidR="00EC2098" w:rsidRPr="00EF56F2" w:rsidRDefault="00EC2098" w:rsidP="00DD550A">
      <w:pPr>
        <w:pStyle w:val="Odstavekseznama"/>
        <w:jc w:val="both"/>
        <w:rPr>
          <w:rFonts w:ascii="Times New Roman" w:hAnsi="Times New Roman"/>
          <w:color w:val="FF0000"/>
        </w:rPr>
      </w:pPr>
    </w:p>
    <w:p w:rsidR="003F6586" w:rsidRPr="007E7B4C" w:rsidRDefault="00EB0BC2" w:rsidP="00DD550A">
      <w:pPr>
        <w:jc w:val="both"/>
        <w:rPr>
          <w:bCs/>
          <w:szCs w:val="22"/>
          <w:lang w:val="sl-SI"/>
        </w:rPr>
      </w:pPr>
      <w:r w:rsidRPr="007E7B4C">
        <w:rPr>
          <w:szCs w:val="22"/>
          <w:lang w:val="sl-SI"/>
        </w:rPr>
        <w:t>Do 1</w:t>
      </w:r>
      <w:r w:rsidR="007E7B4C" w:rsidRPr="007E7B4C">
        <w:rPr>
          <w:szCs w:val="22"/>
          <w:lang w:val="sl-SI"/>
        </w:rPr>
        <w:t>2</w:t>
      </w:r>
      <w:r w:rsidR="00EC2098" w:rsidRPr="007E7B4C">
        <w:rPr>
          <w:szCs w:val="22"/>
          <w:lang w:val="sl-SI"/>
        </w:rPr>
        <w:t>.</w:t>
      </w:r>
      <w:r w:rsidR="006C69A5" w:rsidRPr="007E7B4C">
        <w:rPr>
          <w:szCs w:val="22"/>
          <w:lang w:val="sl-SI"/>
        </w:rPr>
        <w:t xml:space="preserve"> </w:t>
      </w:r>
      <w:r w:rsidR="00EC2098" w:rsidRPr="007E7B4C">
        <w:rPr>
          <w:szCs w:val="22"/>
          <w:lang w:val="sl-SI"/>
        </w:rPr>
        <w:t xml:space="preserve"> ure dne  </w:t>
      </w:r>
      <w:r w:rsidR="000D4D09">
        <w:rPr>
          <w:szCs w:val="22"/>
          <w:lang w:val="sl-SI"/>
        </w:rPr>
        <w:t>21.10</w:t>
      </w:r>
      <w:r w:rsidR="007E7B4C" w:rsidRPr="007E7B4C">
        <w:rPr>
          <w:szCs w:val="22"/>
          <w:lang w:val="sl-SI"/>
        </w:rPr>
        <w:t xml:space="preserve">.2013 </w:t>
      </w:r>
      <w:r w:rsidR="00EC2098" w:rsidRPr="007E7B4C">
        <w:rPr>
          <w:szCs w:val="22"/>
          <w:lang w:val="sl-SI"/>
        </w:rPr>
        <w:t>so</w:t>
      </w:r>
      <w:r w:rsidR="000D4D09">
        <w:rPr>
          <w:szCs w:val="22"/>
          <w:lang w:val="sl-SI"/>
        </w:rPr>
        <w:t xml:space="preserve"> od 16</w:t>
      </w:r>
      <w:r w:rsidR="00566DEC" w:rsidRPr="007E7B4C">
        <w:rPr>
          <w:szCs w:val="22"/>
          <w:lang w:val="sl-SI"/>
        </w:rPr>
        <w:t>-tih članov sveta</w:t>
      </w:r>
      <w:r w:rsidR="00EC2098" w:rsidRPr="007E7B4C">
        <w:rPr>
          <w:szCs w:val="22"/>
          <w:lang w:val="sl-SI"/>
        </w:rPr>
        <w:t xml:space="preserve"> svoje odgovore </w:t>
      </w:r>
      <w:r w:rsidR="00EC2098" w:rsidRPr="007E7B4C">
        <w:rPr>
          <w:b/>
          <w:bCs/>
          <w:szCs w:val="22"/>
          <w:lang w:val="sl-SI"/>
        </w:rPr>
        <w:t xml:space="preserve"> </w:t>
      </w:r>
      <w:r w:rsidR="00EC2098" w:rsidRPr="007E7B4C">
        <w:rPr>
          <w:bCs/>
          <w:szCs w:val="22"/>
          <w:lang w:val="sl-SI"/>
        </w:rPr>
        <w:t xml:space="preserve">posredovali naslednji člani: g. Miran Bizjak, g. Ignacij Borštnar, </w:t>
      </w:r>
      <w:r w:rsidRPr="007E7B4C">
        <w:rPr>
          <w:bCs/>
          <w:szCs w:val="22"/>
          <w:lang w:val="sl-SI"/>
        </w:rPr>
        <w:t xml:space="preserve">g. Drago Bratun, </w:t>
      </w:r>
      <w:r w:rsidR="00EC2098" w:rsidRPr="007E7B4C">
        <w:rPr>
          <w:bCs/>
          <w:szCs w:val="22"/>
          <w:lang w:val="sl-SI"/>
        </w:rPr>
        <w:t xml:space="preserve">ga. Jožica Dolinar, </w:t>
      </w:r>
      <w:proofErr w:type="spellStart"/>
      <w:r w:rsidR="000D4D09" w:rsidRPr="007E7B4C">
        <w:rPr>
          <w:bCs/>
        </w:rPr>
        <w:t>ga</w:t>
      </w:r>
      <w:proofErr w:type="spellEnd"/>
      <w:r w:rsidR="000D4D09" w:rsidRPr="007E7B4C">
        <w:rPr>
          <w:bCs/>
        </w:rPr>
        <w:t>. Marinka Levičar</w:t>
      </w:r>
      <w:r w:rsidR="000D4D09">
        <w:rPr>
          <w:bCs/>
        </w:rPr>
        <w:t>,</w:t>
      </w:r>
      <w:r w:rsidR="00EC2098" w:rsidRPr="007E7B4C">
        <w:rPr>
          <w:bCs/>
          <w:szCs w:val="22"/>
          <w:lang w:val="sl-SI"/>
        </w:rPr>
        <w:t xml:space="preserve"> g. Marko Šiška, g. T</w:t>
      </w:r>
      <w:r w:rsidR="003600A9" w:rsidRPr="007E7B4C">
        <w:rPr>
          <w:bCs/>
          <w:szCs w:val="22"/>
          <w:lang w:val="sl-SI"/>
        </w:rPr>
        <w:t>omaž Škorjanc, ga. Edita Tomić,</w:t>
      </w:r>
      <w:r w:rsidR="006C69A5" w:rsidRPr="007E7B4C">
        <w:rPr>
          <w:bCs/>
          <w:szCs w:val="22"/>
          <w:lang w:val="sl-SI"/>
        </w:rPr>
        <w:t xml:space="preserve"> </w:t>
      </w:r>
      <w:r w:rsidR="00D2213F" w:rsidRPr="007E7B4C">
        <w:rPr>
          <w:bCs/>
          <w:szCs w:val="22"/>
          <w:lang w:val="sl-SI"/>
        </w:rPr>
        <w:t>g. Jernej Zupanc</w:t>
      </w:r>
      <w:r w:rsidR="007E7B4C" w:rsidRPr="007E7B4C">
        <w:rPr>
          <w:bCs/>
          <w:szCs w:val="22"/>
          <w:lang w:val="sl-SI"/>
        </w:rPr>
        <w:t>, ga. Avguština Zupančič</w:t>
      </w:r>
      <w:r w:rsidR="00EC2098" w:rsidRPr="007E7B4C">
        <w:rPr>
          <w:bCs/>
          <w:szCs w:val="22"/>
          <w:lang w:val="sl-SI"/>
        </w:rPr>
        <w:t xml:space="preserve"> in ga. Alenka Žibert.</w:t>
      </w:r>
      <w:r w:rsidR="003F6586" w:rsidRPr="007E7B4C">
        <w:rPr>
          <w:bCs/>
          <w:szCs w:val="22"/>
          <w:lang w:val="sl-SI"/>
        </w:rPr>
        <w:t xml:space="preserve"> </w:t>
      </w:r>
    </w:p>
    <w:p w:rsidR="00DD68B1" w:rsidRPr="007E7B4C" w:rsidRDefault="00DD68B1" w:rsidP="00DD550A">
      <w:pPr>
        <w:jc w:val="both"/>
        <w:rPr>
          <w:bCs/>
          <w:szCs w:val="22"/>
          <w:lang w:val="sl-SI"/>
        </w:rPr>
      </w:pPr>
    </w:p>
    <w:p w:rsidR="00DD68B1" w:rsidRPr="007E7B4C" w:rsidRDefault="001C6408" w:rsidP="00DD550A">
      <w:pPr>
        <w:jc w:val="both"/>
        <w:rPr>
          <w:bCs/>
          <w:szCs w:val="22"/>
          <w:lang w:val="sl-SI"/>
        </w:rPr>
      </w:pPr>
      <w:r w:rsidRPr="007E7B4C">
        <w:rPr>
          <w:bCs/>
          <w:szCs w:val="22"/>
          <w:lang w:val="sl-SI"/>
        </w:rPr>
        <w:t>Kor</w:t>
      </w:r>
      <w:r w:rsidR="006C69A5" w:rsidRPr="007E7B4C">
        <w:rPr>
          <w:bCs/>
          <w:szCs w:val="22"/>
          <w:lang w:val="sl-SI"/>
        </w:rPr>
        <w:t>espondenčne seje se ni</w:t>
      </w:r>
      <w:r w:rsidR="003600A9" w:rsidRPr="007E7B4C">
        <w:rPr>
          <w:bCs/>
          <w:szCs w:val="22"/>
          <w:lang w:val="sl-SI"/>
        </w:rPr>
        <w:t>so</w:t>
      </w:r>
      <w:r w:rsidR="006C69A5" w:rsidRPr="007E7B4C">
        <w:rPr>
          <w:bCs/>
          <w:szCs w:val="22"/>
          <w:lang w:val="sl-SI"/>
        </w:rPr>
        <w:t xml:space="preserve"> udeležil</w:t>
      </w:r>
      <w:r w:rsidR="003600A9" w:rsidRPr="007E7B4C">
        <w:rPr>
          <w:bCs/>
          <w:szCs w:val="22"/>
          <w:lang w:val="sl-SI"/>
        </w:rPr>
        <w:t>i</w:t>
      </w:r>
      <w:r w:rsidR="00F44229" w:rsidRPr="007E7B4C">
        <w:rPr>
          <w:bCs/>
          <w:szCs w:val="22"/>
          <w:lang w:val="sl-SI"/>
        </w:rPr>
        <w:t xml:space="preserve"> mag. Nives Cesar</w:t>
      </w:r>
      <w:r w:rsidR="000D4D09">
        <w:rPr>
          <w:bCs/>
          <w:szCs w:val="22"/>
          <w:lang w:val="sl-SI"/>
        </w:rPr>
        <w:t xml:space="preserve">, </w:t>
      </w:r>
      <w:r w:rsidR="000D4D09" w:rsidRPr="007E7B4C">
        <w:rPr>
          <w:bCs/>
        </w:rPr>
        <w:t xml:space="preserve"> </w:t>
      </w:r>
      <w:proofErr w:type="spellStart"/>
      <w:r w:rsidR="000D4D09">
        <w:rPr>
          <w:bCs/>
        </w:rPr>
        <w:t>ga</w:t>
      </w:r>
      <w:proofErr w:type="spellEnd"/>
      <w:r w:rsidR="000D4D09">
        <w:rPr>
          <w:bCs/>
        </w:rPr>
        <w:t xml:space="preserve">. </w:t>
      </w:r>
      <w:r w:rsidR="000D4D09" w:rsidRPr="007E7B4C">
        <w:rPr>
          <w:bCs/>
        </w:rPr>
        <w:t xml:space="preserve">Lidija </w:t>
      </w:r>
      <w:proofErr w:type="spellStart"/>
      <w:r w:rsidR="000D4D09" w:rsidRPr="007E7B4C">
        <w:rPr>
          <w:bCs/>
        </w:rPr>
        <w:t>Drobnič</w:t>
      </w:r>
      <w:proofErr w:type="spellEnd"/>
      <w:r w:rsidR="000D4D09" w:rsidRPr="007E7B4C">
        <w:rPr>
          <w:bCs/>
        </w:rPr>
        <w:t>, g. G</w:t>
      </w:r>
      <w:r w:rsidR="000D4D09">
        <w:rPr>
          <w:bCs/>
        </w:rPr>
        <w:t xml:space="preserve">regor </w:t>
      </w:r>
      <w:proofErr w:type="spellStart"/>
      <w:r w:rsidR="000D4D09">
        <w:rPr>
          <w:bCs/>
        </w:rPr>
        <w:t>Makovec</w:t>
      </w:r>
      <w:proofErr w:type="spellEnd"/>
      <w:r w:rsidR="000D4D09">
        <w:rPr>
          <w:bCs/>
        </w:rPr>
        <w:t>, g. Peter Rondaij</w:t>
      </w:r>
      <w:r w:rsidR="007E7B4C" w:rsidRPr="007E7B4C">
        <w:rPr>
          <w:bCs/>
          <w:szCs w:val="22"/>
          <w:lang w:val="sl-SI"/>
        </w:rPr>
        <w:t xml:space="preserve"> in</w:t>
      </w:r>
      <w:r w:rsidR="000D4D09">
        <w:rPr>
          <w:bCs/>
          <w:szCs w:val="22"/>
          <w:lang w:val="sl-SI"/>
        </w:rPr>
        <w:t xml:space="preserve"> g. Željko Vasić.</w:t>
      </w:r>
    </w:p>
    <w:p w:rsidR="00683FDD" w:rsidRPr="00EF56F2" w:rsidRDefault="00683FDD" w:rsidP="00DD550A">
      <w:pPr>
        <w:jc w:val="both"/>
        <w:rPr>
          <w:color w:val="FF0000"/>
          <w:szCs w:val="22"/>
          <w:lang w:val="sl-SI"/>
        </w:rPr>
      </w:pPr>
    </w:p>
    <w:p w:rsidR="00EC2098" w:rsidRPr="007E7B4C" w:rsidRDefault="00EC2098" w:rsidP="00DD550A">
      <w:pPr>
        <w:jc w:val="both"/>
        <w:rPr>
          <w:szCs w:val="22"/>
          <w:lang w:val="sl-SI"/>
        </w:rPr>
      </w:pPr>
      <w:r w:rsidRPr="007E7B4C">
        <w:rPr>
          <w:szCs w:val="22"/>
          <w:lang w:val="sl-SI"/>
        </w:rPr>
        <w:t>Na korespondenč</w:t>
      </w:r>
      <w:r w:rsidR="007E7B4C" w:rsidRPr="007E7B4C">
        <w:rPr>
          <w:szCs w:val="22"/>
          <w:lang w:val="sl-SI"/>
        </w:rPr>
        <w:t>ni telefonski seji so se člani s</w:t>
      </w:r>
      <w:r w:rsidRPr="007E7B4C">
        <w:rPr>
          <w:szCs w:val="22"/>
          <w:lang w:val="sl-SI"/>
        </w:rPr>
        <w:t>veta z ZA ali PROTI opredelili do:</w:t>
      </w:r>
    </w:p>
    <w:p w:rsidR="006C69A5" w:rsidRPr="007E7B4C" w:rsidRDefault="00EC2098" w:rsidP="006C69A5">
      <w:pPr>
        <w:jc w:val="both"/>
        <w:rPr>
          <w:b/>
          <w:bCs/>
          <w:szCs w:val="22"/>
          <w:lang w:val="sl-SI"/>
        </w:rPr>
      </w:pPr>
      <w:r w:rsidRPr="007E7B4C">
        <w:rPr>
          <w:b/>
          <w:szCs w:val="22"/>
          <w:lang w:val="sl-SI"/>
        </w:rPr>
        <w:t xml:space="preserve">- </w:t>
      </w:r>
      <w:r w:rsidRPr="007E7B4C">
        <w:rPr>
          <w:b/>
          <w:bCs/>
          <w:szCs w:val="22"/>
          <w:lang w:val="sl-SI"/>
        </w:rPr>
        <w:t>predloga sklepa 1/</w:t>
      </w:r>
      <w:r w:rsidR="000D4D09">
        <w:rPr>
          <w:b/>
          <w:bCs/>
          <w:szCs w:val="22"/>
          <w:lang w:val="sl-SI"/>
        </w:rPr>
        <w:t>15</w:t>
      </w:r>
      <w:r w:rsidRPr="007E7B4C">
        <w:rPr>
          <w:b/>
          <w:bCs/>
          <w:szCs w:val="22"/>
          <w:lang w:val="sl-SI"/>
        </w:rPr>
        <w:t>-kor</w:t>
      </w:r>
    </w:p>
    <w:p w:rsidR="007E7B4C" w:rsidRDefault="000D4D09" w:rsidP="006C69A5">
      <w:pPr>
        <w:jc w:val="both"/>
        <w:rPr>
          <w:b/>
          <w:bCs/>
          <w:szCs w:val="22"/>
          <w:lang w:val="sl-SI"/>
        </w:rPr>
      </w:pPr>
      <w:r>
        <w:rPr>
          <w:b/>
          <w:bCs/>
          <w:szCs w:val="22"/>
          <w:lang w:val="sl-SI"/>
        </w:rPr>
        <w:t>- predloga sklepa 2/15</w:t>
      </w:r>
      <w:r w:rsidR="007E7B4C" w:rsidRPr="007E7B4C">
        <w:rPr>
          <w:b/>
          <w:bCs/>
          <w:szCs w:val="22"/>
          <w:lang w:val="sl-SI"/>
        </w:rPr>
        <w:t>-kor</w:t>
      </w:r>
    </w:p>
    <w:p w:rsidR="000D4D09" w:rsidRPr="007E7B4C" w:rsidRDefault="000D4D09" w:rsidP="006C69A5">
      <w:pPr>
        <w:jc w:val="both"/>
        <w:rPr>
          <w:b/>
          <w:bCs/>
          <w:szCs w:val="22"/>
          <w:lang w:val="sl-SI"/>
        </w:rPr>
      </w:pPr>
      <w:r>
        <w:rPr>
          <w:b/>
          <w:bCs/>
          <w:szCs w:val="22"/>
          <w:lang w:val="sl-SI"/>
        </w:rPr>
        <w:t xml:space="preserve">- </w:t>
      </w:r>
      <w:r w:rsidR="001A4986">
        <w:rPr>
          <w:b/>
          <w:bCs/>
          <w:szCs w:val="22"/>
          <w:lang w:val="sl-SI"/>
        </w:rPr>
        <w:t>predloga sklepa 3</w:t>
      </w:r>
      <w:r>
        <w:rPr>
          <w:b/>
          <w:bCs/>
          <w:szCs w:val="22"/>
          <w:lang w:val="sl-SI"/>
        </w:rPr>
        <w:t>/15</w:t>
      </w:r>
      <w:r w:rsidRPr="007E7B4C">
        <w:rPr>
          <w:b/>
          <w:bCs/>
          <w:szCs w:val="22"/>
          <w:lang w:val="sl-SI"/>
        </w:rPr>
        <w:t>-kor</w:t>
      </w:r>
      <w:r>
        <w:rPr>
          <w:b/>
          <w:bCs/>
          <w:szCs w:val="22"/>
          <w:lang w:val="sl-SI"/>
        </w:rPr>
        <w:t>,</w:t>
      </w:r>
    </w:p>
    <w:p w:rsidR="003600A9" w:rsidRPr="00EF56F2" w:rsidRDefault="003600A9" w:rsidP="006C69A5">
      <w:pPr>
        <w:jc w:val="both"/>
        <w:rPr>
          <w:b/>
          <w:bCs/>
          <w:color w:val="FF0000"/>
        </w:rPr>
      </w:pPr>
    </w:p>
    <w:p w:rsidR="00EC2098" w:rsidRPr="007E7B4C" w:rsidRDefault="00EC2098" w:rsidP="00DD550A">
      <w:pPr>
        <w:jc w:val="both"/>
        <w:rPr>
          <w:b/>
          <w:bCs/>
          <w:szCs w:val="22"/>
          <w:lang w:val="sl-SI"/>
        </w:rPr>
      </w:pPr>
      <w:r w:rsidRPr="007E7B4C">
        <w:rPr>
          <w:bCs/>
          <w:szCs w:val="22"/>
          <w:lang w:val="sl-SI"/>
        </w:rPr>
        <w:t xml:space="preserve">ki </w:t>
      </w:r>
      <w:r w:rsidR="007E7B4C" w:rsidRPr="007E7B4C">
        <w:rPr>
          <w:bCs/>
          <w:szCs w:val="22"/>
          <w:lang w:val="sl-SI"/>
        </w:rPr>
        <w:t>so ju</w:t>
      </w:r>
      <w:r w:rsidRPr="007E7B4C">
        <w:rPr>
          <w:bCs/>
          <w:szCs w:val="22"/>
          <w:lang w:val="sl-SI"/>
        </w:rPr>
        <w:t xml:space="preserve"> </w:t>
      </w:r>
      <w:r w:rsidR="000D4D09">
        <w:rPr>
          <w:bCs/>
          <w:szCs w:val="22"/>
          <w:lang w:val="sl-SI"/>
        </w:rPr>
        <w:t xml:space="preserve"> prejeli s sklicem 15</w:t>
      </w:r>
      <w:r w:rsidRPr="007E7B4C">
        <w:rPr>
          <w:bCs/>
          <w:szCs w:val="22"/>
          <w:lang w:val="sl-SI"/>
        </w:rPr>
        <w:t>. korespondenčne  seje.</w:t>
      </w:r>
    </w:p>
    <w:p w:rsidR="00EC2098" w:rsidRPr="00EF56F2" w:rsidRDefault="00EC2098" w:rsidP="00DD550A">
      <w:pPr>
        <w:jc w:val="both"/>
        <w:rPr>
          <w:color w:val="FF0000"/>
          <w:szCs w:val="22"/>
          <w:lang w:val="sl-SI"/>
        </w:rPr>
      </w:pPr>
    </w:p>
    <w:p w:rsidR="00EC2098" w:rsidRPr="00EF56F2" w:rsidRDefault="00EC2098" w:rsidP="00B8065C">
      <w:pPr>
        <w:jc w:val="center"/>
        <w:rPr>
          <w:color w:val="FF0000"/>
          <w:szCs w:val="22"/>
          <w:lang w:val="sl-SI"/>
        </w:rPr>
      </w:pPr>
    </w:p>
    <w:p w:rsidR="00EC2098" w:rsidRPr="005F6A5F" w:rsidRDefault="00EC2098" w:rsidP="00B8065C">
      <w:pPr>
        <w:jc w:val="center"/>
        <w:rPr>
          <w:b/>
          <w:szCs w:val="22"/>
          <w:lang w:val="sl-SI"/>
        </w:rPr>
      </w:pPr>
      <w:r w:rsidRPr="005F6A5F">
        <w:rPr>
          <w:b/>
          <w:szCs w:val="22"/>
          <w:lang w:val="sl-SI"/>
        </w:rPr>
        <w:t>AD 1.</w:t>
      </w:r>
    </w:p>
    <w:p w:rsidR="00291833" w:rsidRDefault="00291833" w:rsidP="00291833">
      <w:pPr>
        <w:pStyle w:val="Odstavekseznama"/>
        <w:ind w:left="502"/>
        <w:contextualSpacing w:val="0"/>
        <w:jc w:val="center"/>
        <w:rPr>
          <w:rFonts w:ascii="Times New Roman" w:hAnsi="Times New Roman"/>
          <w:b/>
        </w:rPr>
      </w:pPr>
      <w:r w:rsidRPr="000D4D09">
        <w:rPr>
          <w:rFonts w:ascii="Times New Roman" w:hAnsi="Times New Roman"/>
          <w:b/>
        </w:rPr>
        <w:t>Rebalans proračuna MOL za leto 2014 – spremembe Finančnega načrta</w:t>
      </w:r>
    </w:p>
    <w:p w:rsidR="00291833" w:rsidRDefault="00291833" w:rsidP="00291833">
      <w:pPr>
        <w:pStyle w:val="Odstavekseznama"/>
        <w:ind w:left="502"/>
        <w:contextualSpacing w:val="0"/>
        <w:jc w:val="center"/>
        <w:rPr>
          <w:rFonts w:ascii="Times New Roman" w:hAnsi="Times New Roman"/>
          <w:b/>
        </w:rPr>
      </w:pPr>
      <w:r w:rsidRPr="000D4D09">
        <w:rPr>
          <w:rFonts w:ascii="Times New Roman" w:hAnsi="Times New Roman"/>
          <w:b/>
        </w:rPr>
        <w:t>in Plana malih ČS Bežigrad</w:t>
      </w:r>
    </w:p>
    <w:p w:rsidR="001A4986" w:rsidRDefault="001A4986" w:rsidP="00291833">
      <w:pPr>
        <w:pStyle w:val="Odstavekseznama"/>
        <w:ind w:left="502"/>
        <w:contextualSpacing w:val="0"/>
        <w:jc w:val="center"/>
        <w:rPr>
          <w:rFonts w:ascii="Times New Roman" w:hAnsi="Times New Roman"/>
          <w:b/>
        </w:rPr>
      </w:pPr>
    </w:p>
    <w:p w:rsidR="001A4986" w:rsidRPr="004F169A" w:rsidRDefault="001A4986" w:rsidP="001A4986">
      <w:pPr>
        <w:pStyle w:val="Telobesedila"/>
        <w:spacing w:after="0"/>
        <w:rPr>
          <w:rFonts w:ascii="Times New Roman" w:hAnsi="Times New Roman"/>
        </w:rPr>
      </w:pPr>
      <w:r w:rsidRPr="004F169A">
        <w:rPr>
          <w:rFonts w:ascii="Times New Roman" w:hAnsi="Times New Roman"/>
        </w:rPr>
        <w:t>Svet Četrtne sk</w:t>
      </w:r>
      <w:r>
        <w:rPr>
          <w:rFonts w:ascii="Times New Roman" w:hAnsi="Times New Roman"/>
        </w:rPr>
        <w:t>upnosti Bežigrad MOL je na 11. k</w:t>
      </w:r>
      <w:r w:rsidRPr="004F169A">
        <w:rPr>
          <w:rFonts w:ascii="Times New Roman" w:hAnsi="Times New Roman"/>
        </w:rPr>
        <w:t>orespondenčni seji sprejel finančna načrta in plana malih del ČS Bežigrad MOL za leti 2013 in 2014.</w:t>
      </w:r>
    </w:p>
    <w:p w:rsidR="001A4986" w:rsidRPr="00EC5C5B" w:rsidRDefault="001A4986" w:rsidP="001A4986">
      <w:pPr>
        <w:pStyle w:val="Telobesedila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 okviru priprave </w:t>
      </w:r>
      <w:r w:rsidRPr="00EC5C5B">
        <w:rPr>
          <w:rFonts w:ascii="Times New Roman" w:hAnsi="Times New Roman"/>
        </w:rPr>
        <w:t>rebalans</w:t>
      </w:r>
      <w:r>
        <w:rPr>
          <w:rFonts w:ascii="Times New Roman" w:hAnsi="Times New Roman"/>
        </w:rPr>
        <w:t>a</w:t>
      </w:r>
      <w:r w:rsidRPr="00EC5C5B">
        <w:rPr>
          <w:rFonts w:ascii="Times New Roman" w:hAnsi="Times New Roman"/>
        </w:rPr>
        <w:t xml:space="preserve"> proračun</w:t>
      </w:r>
      <w:r>
        <w:rPr>
          <w:rFonts w:ascii="Times New Roman" w:hAnsi="Times New Roman"/>
        </w:rPr>
        <w:t xml:space="preserve">a MOL za leto 2014 </w:t>
      </w:r>
      <w:r w:rsidRPr="00EC5C5B">
        <w:rPr>
          <w:rFonts w:ascii="Times New Roman" w:hAnsi="Times New Roman"/>
        </w:rPr>
        <w:t>je potrebno pripraviti popravke finančnega načrta Četrtne skupnosti Bežigrad MOL za leto 2014. Popravki so potrebni iz naslednjih razlogov:</w:t>
      </w:r>
    </w:p>
    <w:p w:rsidR="008211A9" w:rsidRDefault="001A4986" w:rsidP="001A4986">
      <w:pPr>
        <w:numPr>
          <w:ilvl w:val="0"/>
          <w:numId w:val="24"/>
        </w:numPr>
        <w:jc w:val="both"/>
        <w:rPr>
          <w:lang w:val="sl-SI"/>
        </w:rPr>
      </w:pPr>
      <w:r>
        <w:rPr>
          <w:lang w:val="sl-SI"/>
        </w:rPr>
        <w:t xml:space="preserve">zaradi spremembe števila prebivalcev v Četrtni skupnosti Bežigrad – sprememba št. prebivalcev ima za posledico spremembo višine sredstev za posamezno četrtno skupnost. </w:t>
      </w:r>
    </w:p>
    <w:p w:rsidR="001A4986" w:rsidRDefault="001A4986" w:rsidP="008211A9">
      <w:pPr>
        <w:ind w:left="720"/>
        <w:jc w:val="both"/>
        <w:rPr>
          <w:lang w:val="sl-SI"/>
        </w:rPr>
      </w:pPr>
      <w:r>
        <w:rPr>
          <w:lang w:val="sl-SI"/>
        </w:rPr>
        <w:t>V</w:t>
      </w:r>
      <w:r w:rsidR="008211A9">
        <w:rPr>
          <w:lang w:val="sl-SI"/>
        </w:rPr>
        <w:t xml:space="preserve"> tabelah, ki sta bili prilogi sklicu 15. korespondenčne seje, je razvidna višina sredstev za delovanje ČS z upoštevanjem stanja</w:t>
      </w:r>
      <w:r>
        <w:rPr>
          <w:lang w:val="sl-SI"/>
        </w:rPr>
        <w:t xml:space="preserve"> prebivalcev </w:t>
      </w:r>
      <w:r w:rsidR="008211A9">
        <w:rPr>
          <w:lang w:val="sl-SI"/>
        </w:rPr>
        <w:t xml:space="preserve">v četrtnih skupnosti MOL </w:t>
      </w:r>
      <w:r>
        <w:rPr>
          <w:lang w:val="sl-SI"/>
        </w:rPr>
        <w:t>na dan 31.12.2011 ter na dan 31.12.2012;</w:t>
      </w:r>
    </w:p>
    <w:p w:rsidR="001A4986" w:rsidRDefault="001A4986" w:rsidP="001A4986">
      <w:pPr>
        <w:numPr>
          <w:ilvl w:val="0"/>
          <w:numId w:val="24"/>
        </w:numPr>
        <w:jc w:val="both"/>
        <w:rPr>
          <w:lang w:val="sl-SI"/>
        </w:rPr>
      </w:pPr>
      <w:r>
        <w:rPr>
          <w:lang w:val="sl-SI"/>
        </w:rPr>
        <w:t xml:space="preserve">zaradi spremembe DDV v letu 2013 je potrebno ponovno preračunati  zneske predlaganih Malih del Četrtne skupnosti Bežigrad MOL za leto 2014; </w:t>
      </w:r>
    </w:p>
    <w:p w:rsidR="001A4986" w:rsidRDefault="001A4986" w:rsidP="001A4986">
      <w:pPr>
        <w:numPr>
          <w:ilvl w:val="0"/>
          <w:numId w:val="24"/>
        </w:numPr>
        <w:jc w:val="both"/>
        <w:rPr>
          <w:lang w:val="sl-SI"/>
        </w:rPr>
      </w:pPr>
      <w:r>
        <w:rPr>
          <w:lang w:val="sl-SI"/>
        </w:rPr>
        <w:t xml:space="preserve">zaradi znižanja plače Župana MOL, ki je osnova za izračun sejnin za predsednike in člane svetov četrtnih skupnosti, se sorazmerno spremeni-zniža skupni znesek sejnin za leto 2014 (in 2013).  </w:t>
      </w:r>
    </w:p>
    <w:p w:rsidR="001A4986" w:rsidRDefault="001A4986" w:rsidP="001A4986">
      <w:pPr>
        <w:jc w:val="both"/>
        <w:rPr>
          <w:lang w:val="sl-SI"/>
        </w:rPr>
      </w:pPr>
    </w:p>
    <w:p w:rsidR="001A4986" w:rsidRDefault="001A4986" w:rsidP="001A4986">
      <w:pPr>
        <w:jc w:val="both"/>
        <w:rPr>
          <w:lang w:val="sl-SI"/>
        </w:rPr>
      </w:pPr>
      <w:r>
        <w:rPr>
          <w:lang w:val="sl-SI"/>
        </w:rPr>
        <w:t xml:space="preserve">Pri planu malih del ČS Bežigrad za leto 2014 </w:t>
      </w:r>
      <w:r w:rsidR="00121895">
        <w:rPr>
          <w:lang w:val="sl-SI"/>
        </w:rPr>
        <w:t xml:space="preserve">so člani sveta odločali o </w:t>
      </w:r>
      <w:r>
        <w:rPr>
          <w:lang w:val="sl-SI"/>
        </w:rPr>
        <w:t xml:space="preserve"> sprememb</w:t>
      </w:r>
      <w:r w:rsidR="00121895">
        <w:rPr>
          <w:lang w:val="sl-SI"/>
        </w:rPr>
        <w:t>i sprejetega plana malih del</w:t>
      </w:r>
      <w:r>
        <w:rPr>
          <w:lang w:val="sl-SI"/>
        </w:rPr>
        <w:t xml:space="preserve">: za leto 2014 je bil predviden obrez žive meje ob zelenici pri </w:t>
      </w:r>
      <w:proofErr w:type="spellStart"/>
      <w:r>
        <w:rPr>
          <w:lang w:val="sl-SI"/>
        </w:rPr>
        <w:t>Črtomirovi</w:t>
      </w:r>
      <w:proofErr w:type="spellEnd"/>
      <w:r>
        <w:rPr>
          <w:lang w:val="sl-SI"/>
        </w:rPr>
        <w:t xml:space="preserve"> ulici. Obrez je bil narejen jeseni letos, zato</w:t>
      </w:r>
      <w:r w:rsidR="00121895">
        <w:rPr>
          <w:lang w:val="sl-SI"/>
        </w:rPr>
        <w:t xml:space="preserve"> je bilo predlagano</w:t>
      </w:r>
      <w:r>
        <w:rPr>
          <w:lang w:val="sl-SI"/>
        </w:rPr>
        <w:t xml:space="preserve">, da se znesek za izvedbo tega dela nameni za zasaditev dveh novih dreves na zelenici med Majaronovo ulico in </w:t>
      </w:r>
      <w:proofErr w:type="spellStart"/>
      <w:r>
        <w:rPr>
          <w:lang w:val="sl-SI"/>
        </w:rPr>
        <w:t>Luize</w:t>
      </w:r>
      <w:proofErr w:type="spellEnd"/>
      <w:r>
        <w:rPr>
          <w:lang w:val="sl-SI"/>
        </w:rPr>
        <w:t xml:space="preserve">-Pesjakovo ulico. Zaradi izvedbe dodatnih parkirnih mest ob zelenici, ki so bila v planu malih del ČS Bežigrad za leto 2013, je predvidena odstranitev nekaj dreves ob robu cestišča, ki so slabše kakovosti in nevarna, da jih neurje ali snega podre. </w:t>
      </w:r>
    </w:p>
    <w:p w:rsidR="001A4986" w:rsidRDefault="001A4986" w:rsidP="001A4986">
      <w:pPr>
        <w:jc w:val="both"/>
        <w:rPr>
          <w:lang w:val="sl-SI"/>
        </w:rPr>
      </w:pPr>
    </w:p>
    <w:p w:rsidR="001A4986" w:rsidRDefault="001A4986" w:rsidP="001A4986">
      <w:pPr>
        <w:tabs>
          <w:tab w:val="left" w:pos="142"/>
          <w:tab w:val="left" w:pos="3686"/>
          <w:tab w:val="right" w:pos="8789"/>
        </w:tabs>
        <w:jc w:val="both"/>
        <w:rPr>
          <w:lang w:val="sl-SI"/>
        </w:rPr>
      </w:pPr>
      <w:r>
        <w:rPr>
          <w:lang w:val="sl-SI"/>
        </w:rPr>
        <w:tab/>
      </w:r>
      <w:r w:rsidRPr="00E203A6">
        <w:rPr>
          <w:i/>
          <w:u w:val="single"/>
          <w:lang w:val="sl-SI"/>
        </w:rPr>
        <w:t>Opis</w:t>
      </w:r>
      <w:r w:rsidRPr="00E203A6">
        <w:rPr>
          <w:i/>
          <w:u w:val="single"/>
          <w:lang w:val="sl-SI"/>
        </w:rPr>
        <w:tab/>
        <w:t>znesek sprejetega FN</w:t>
      </w:r>
      <w:r w:rsidRPr="00E203A6">
        <w:rPr>
          <w:i/>
          <w:u w:val="single"/>
          <w:lang w:val="sl-SI"/>
        </w:rPr>
        <w:tab/>
        <w:t>spremembe2014</w:t>
      </w:r>
      <w:r>
        <w:rPr>
          <w:lang w:val="sl-SI"/>
        </w:rPr>
        <w:t xml:space="preserve"> </w:t>
      </w:r>
      <w:r>
        <w:rPr>
          <w:lang w:val="sl-SI"/>
        </w:rPr>
        <w:tab/>
      </w:r>
      <w:proofErr w:type="spellStart"/>
      <w:r>
        <w:rPr>
          <w:lang w:val="sl-SI"/>
        </w:rPr>
        <w:t>Variablini</w:t>
      </w:r>
      <w:proofErr w:type="spellEnd"/>
      <w:r>
        <w:rPr>
          <w:lang w:val="sl-SI"/>
        </w:rPr>
        <w:t xml:space="preserve"> in fiksni del 2014</w:t>
      </w:r>
      <w:r>
        <w:rPr>
          <w:lang w:val="sl-SI"/>
        </w:rPr>
        <w:tab/>
        <w:t>28.881 EUR</w:t>
      </w:r>
      <w:r>
        <w:rPr>
          <w:lang w:val="sl-SI"/>
        </w:rPr>
        <w:tab/>
      </w:r>
      <w:proofErr w:type="spellStart"/>
      <w:r>
        <w:rPr>
          <w:lang w:val="sl-SI"/>
        </w:rPr>
        <w:t>28.929EUR</w:t>
      </w:r>
      <w:proofErr w:type="spellEnd"/>
      <w:r>
        <w:rPr>
          <w:lang w:val="sl-SI"/>
        </w:rPr>
        <w:tab/>
        <w:t>Sred. za povračilo last.</w:t>
      </w:r>
      <w:proofErr w:type="spellStart"/>
      <w:r>
        <w:rPr>
          <w:lang w:val="sl-SI"/>
        </w:rPr>
        <w:t>mob</w:t>
      </w:r>
      <w:proofErr w:type="spellEnd"/>
      <w:r>
        <w:rPr>
          <w:lang w:val="sl-SI"/>
        </w:rPr>
        <w:t>.tel.</w:t>
      </w:r>
      <w:r>
        <w:rPr>
          <w:lang w:val="sl-SI"/>
        </w:rPr>
        <w:tab/>
        <w:t>300 EUR</w:t>
      </w:r>
      <w:r>
        <w:rPr>
          <w:lang w:val="sl-SI"/>
        </w:rPr>
        <w:tab/>
        <w:t>300EUR</w:t>
      </w:r>
      <w:r>
        <w:rPr>
          <w:lang w:val="sl-SI"/>
        </w:rPr>
        <w:tab/>
        <w:t>Sredstva za sejnine</w:t>
      </w:r>
      <w:r>
        <w:rPr>
          <w:lang w:val="sl-SI"/>
        </w:rPr>
        <w:tab/>
        <w:t>6.719 EUR</w:t>
      </w:r>
      <w:r>
        <w:rPr>
          <w:lang w:val="sl-SI"/>
        </w:rPr>
        <w:tab/>
      </w:r>
      <w:proofErr w:type="spellStart"/>
      <w:r>
        <w:rPr>
          <w:lang w:val="sl-SI"/>
        </w:rPr>
        <w:t>6.452EUR</w:t>
      </w:r>
      <w:proofErr w:type="spellEnd"/>
      <w:r>
        <w:rPr>
          <w:lang w:val="sl-SI"/>
        </w:rPr>
        <w:tab/>
        <w:t>SKUPAJ:</w:t>
      </w:r>
      <w:r>
        <w:rPr>
          <w:lang w:val="sl-SI"/>
        </w:rPr>
        <w:tab/>
        <w:t>35.900 EUR</w:t>
      </w:r>
      <w:r>
        <w:rPr>
          <w:lang w:val="sl-SI"/>
        </w:rPr>
        <w:tab/>
      </w:r>
      <w:proofErr w:type="spellStart"/>
      <w:r>
        <w:rPr>
          <w:lang w:val="sl-SI"/>
        </w:rPr>
        <w:t>35.681EUR</w:t>
      </w:r>
      <w:proofErr w:type="spellEnd"/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Plan malih del ČS Bežigrad</w:t>
      </w:r>
      <w:r>
        <w:rPr>
          <w:lang w:val="sl-SI"/>
        </w:rPr>
        <w:tab/>
        <w:t>9.290 EUR</w:t>
      </w:r>
      <w:r>
        <w:rPr>
          <w:lang w:val="sl-SI"/>
        </w:rPr>
        <w:tab/>
      </w:r>
      <w:proofErr w:type="spellStart"/>
      <w:r>
        <w:rPr>
          <w:lang w:val="sl-SI"/>
        </w:rPr>
        <w:t>9.459EUR</w:t>
      </w:r>
      <w:proofErr w:type="spellEnd"/>
      <w:r>
        <w:rPr>
          <w:lang w:val="sl-SI"/>
        </w:rPr>
        <w:tab/>
        <w:t>Finančni načrt ČS Bežigrad</w:t>
      </w:r>
      <w:r>
        <w:rPr>
          <w:lang w:val="sl-SI"/>
        </w:rPr>
        <w:tab/>
        <w:t>26.610 EUR</w:t>
      </w:r>
      <w:r>
        <w:rPr>
          <w:lang w:val="sl-SI"/>
        </w:rPr>
        <w:tab/>
      </w:r>
      <w:proofErr w:type="spellStart"/>
      <w:r>
        <w:rPr>
          <w:lang w:val="sl-SI"/>
        </w:rPr>
        <w:t>26.222EUR</w:t>
      </w:r>
      <w:proofErr w:type="spellEnd"/>
      <w:r>
        <w:rPr>
          <w:lang w:val="sl-SI"/>
        </w:rPr>
        <w:tab/>
      </w:r>
      <w:r>
        <w:rPr>
          <w:lang w:val="sl-SI"/>
        </w:rPr>
        <w:tab/>
      </w:r>
    </w:p>
    <w:p w:rsidR="001A4986" w:rsidRDefault="001A4986" w:rsidP="001A4986">
      <w:pPr>
        <w:rPr>
          <w:lang w:val="sl-SI"/>
        </w:rPr>
      </w:pPr>
    </w:p>
    <w:p w:rsidR="001A4986" w:rsidRDefault="001A4986" w:rsidP="001A4986">
      <w:pPr>
        <w:rPr>
          <w:lang w:val="sl-SI"/>
        </w:rPr>
      </w:pPr>
      <w:r>
        <w:rPr>
          <w:lang w:val="sl-SI"/>
        </w:rPr>
        <w:t>Skladno z obrazložitvijo so člani sveta glasovali o naslednjih  predlogih sklepov:</w:t>
      </w:r>
    </w:p>
    <w:p w:rsidR="001A4986" w:rsidRPr="00F36832" w:rsidRDefault="001A4986" w:rsidP="001A4986">
      <w:pPr>
        <w:rPr>
          <w:lang w:val="sl-SI"/>
        </w:rPr>
      </w:pPr>
      <w:r>
        <w:rPr>
          <w:lang w:val="sl-SI"/>
        </w:rPr>
        <w:t xml:space="preserve"> </w:t>
      </w:r>
    </w:p>
    <w:p w:rsidR="001A4986" w:rsidRDefault="001A4986" w:rsidP="001A4986">
      <w:pPr>
        <w:rPr>
          <w:b/>
          <w:lang w:val="sl-SI"/>
        </w:rPr>
      </w:pPr>
      <w:r>
        <w:rPr>
          <w:b/>
          <w:lang w:val="sl-SI"/>
        </w:rPr>
        <w:t>PREDLOG  SKLEPA 1/15</w:t>
      </w:r>
      <w:r w:rsidRPr="00F36832">
        <w:rPr>
          <w:b/>
          <w:lang w:val="sl-SI"/>
        </w:rPr>
        <w:t>-kor:</w:t>
      </w:r>
    </w:p>
    <w:p w:rsidR="001A4986" w:rsidRPr="005B65D0" w:rsidRDefault="001A4986" w:rsidP="001A4986">
      <w:pPr>
        <w:rPr>
          <w:b/>
          <w:lang w:val="sl-SI"/>
        </w:rPr>
      </w:pPr>
      <w:r w:rsidRPr="005B65D0">
        <w:rPr>
          <w:b/>
          <w:lang w:val="sl-SI"/>
        </w:rPr>
        <w:t>Zaradi sprememb višine sredstev namenjenih za delovanje Četrtne skupnosti Bežigrad MOL ter zaradi spre</w:t>
      </w:r>
      <w:r>
        <w:rPr>
          <w:b/>
          <w:lang w:val="sl-SI"/>
        </w:rPr>
        <w:t>membe stopnje DDV se prilagodi višina</w:t>
      </w:r>
      <w:r w:rsidRPr="005B65D0">
        <w:rPr>
          <w:b/>
          <w:lang w:val="sl-SI"/>
        </w:rPr>
        <w:t xml:space="preserve"> sredstva za Finančni načrt ČS Bežigrad in izvedbo malih del ČS Bežigrad za leto 2014:</w:t>
      </w:r>
    </w:p>
    <w:p w:rsidR="001A4986" w:rsidRDefault="001A4986" w:rsidP="001A4986">
      <w:pPr>
        <w:tabs>
          <w:tab w:val="right" w:pos="7938"/>
        </w:tabs>
        <w:rPr>
          <w:b/>
          <w:lang w:val="sl-SI"/>
        </w:rPr>
      </w:pPr>
      <w:r>
        <w:rPr>
          <w:b/>
          <w:lang w:val="sl-SI"/>
        </w:rPr>
        <w:t>Variabilni in fiksni del 2014:</w:t>
      </w:r>
      <w:r>
        <w:rPr>
          <w:b/>
          <w:lang w:val="sl-SI"/>
        </w:rPr>
        <w:tab/>
        <w:t>28.929 EUR</w:t>
      </w:r>
    </w:p>
    <w:p w:rsidR="001A4986" w:rsidRDefault="001A4986" w:rsidP="001A4986">
      <w:pPr>
        <w:tabs>
          <w:tab w:val="right" w:pos="7938"/>
        </w:tabs>
        <w:rPr>
          <w:b/>
          <w:lang w:val="sl-SI"/>
        </w:rPr>
      </w:pPr>
      <w:r>
        <w:rPr>
          <w:b/>
          <w:lang w:val="sl-SI"/>
        </w:rPr>
        <w:t>Sredstva za povračilo uporabe last.</w:t>
      </w:r>
      <w:proofErr w:type="spellStart"/>
      <w:r>
        <w:rPr>
          <w:b/>
          <w:lang w:val="sl-SI"/>
        </w:rPr>
        <w:t>mobil</w:t>
      </w:r>
      <w:proofErr w:type="spellEnd"/>
      <w:r>
        <w:rPr>
          <w:b/>
          <w:lang w:val="sl-SI"/>
        </w:rPr>
        <w:t>. telefona predsednika sveta</w:t>
      </w:r>
      <w:r>
        <w:rPr>
          <w:b/>
          <w:lang w:val="sl-SI"/>
        </w:rPr>
        <w:tab/>
        <w:t>300 EUR</w:t>
      </w:r>
    </w:p>
    <w:p w:rsidR="001A4986" w:rsidRDefault="001A4986" w:rsidP="001A4986">
      <w:pPr>
        <w:tabs>
          <w:tab w:val="right" w:pos="7938"/>
        </w:tabs>
        <w:rPr>
          <w:b/>
          <w:lang w:val="sl-SI"/>
        </w:rPr>
      </w:pPr>
      <w:r>
        <w:rPr>
          <w:b/>
          <w:lang w:val="sl-SI"/>
        </w:rPr>
        <w:t>Sredstva za sejnine za predsednika in člane sveta</w:t>
      </w:r>
      <w:r>
        <w:rPr>
          <w:b/>
          <w:lang w:val="sl-SI"/>
        </w:rPr>
        <w:tab/>
        <w:t>6.452 EUR</w:t>
      </w:r>
    </w:p>
    <w:p w:rsidR="001A4986" w:rsidRPr="00533573" w:rsidRDefault="001A4986" w:rsidP="001A4986">
      <w:pPr>
        <w:tabs>
          <w:tab w:val="right" w:pos="7938"/>
        </w:tabs>
        <w:rPr>
          <w:b/>
          <w:i/>
          <w:lang w:val="sl-SI"/>
        </w:rPr>
      </w:pPr>
      <w:r>
        <w:rPr>
          <w:b/>
          <w:i/>
          <w:lang w:val="sl-SI"/>
        </w:rPr>
        <w:t>SKUPAJ:</w:t>
      </w:r>
      <w:r>
        <w:rPr>
          <w:b/>
          <w:i/>
          <w:lang w:val="sl-SI"/>
        </w:rPr>
        <w:tab/>
        <w:t>35.681</w:t>
      </w:r>
      <w:r w:rsidRPr="00533573">
        <w:rPr>
          <w:b/>
          <w:i/>
          <w:lang w:val="sl-SI"/>
        </w:rPr>
        <w:t xml:space="preserve"> EUR</w:t>
      </w:r>
    </w:p>
    <w:p w:rsidR="001A4986" w:rsidRDefault="001A4986" w:rsidP="001A4986">
      <w:pPr>
        <w:pStyle w:val="Telobesedila2"/>
        <w:tabs>
          <w:tab w:val="right" w:pos="7938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4986" w:rsidRPr="00FF793A" w:rsidRDefault="001A4986" w:rsidP="001A4986">
      <w:pPr>
        <w:pStyle w:val="Telobesedila2"/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>Za leto 2014 Svet Četrtne skupnosti Bežigrad MOL sprejema naslednjo razdelitev finančnih sredstev Četrtne</w:t>
      </w:r>
      <w:r w:rsidRPr="00FF793A">
        <w:rPr>
          <w:rFonts w:ascii="Times New Roman" w:hAnsi="Times New Roman"/>
          <w:b/>
          <w:bCs/>
          <w:color w:val="auto"/>
        </w:rPr>
        <w:t xml:space="preserve"> skupnosti Bežigrad MOL:</w:t>
      </w:r>
    </w:p>
    <w:p w:rsidR="001A4986" w:rsidRPr="00FF793A" w:rsidRDefault="001A4986" w:rsidP="001A4986">
      <w:pPr>
        <w:pStyle w:val="Telobesedila2"/>
        <w:tabs>
          <w:tab w:val="right" w:pos="7938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r w:rsidRPr="00FF793A">
        <w:rPr>
          <w:rFonts w:ascii="Times New Roman" w:hAnsi="Times New Roman"/>
          <w:b/>
          <w:bCs/>
          <w:color w:val="auto"/>
        </w:rPr>
        <w:t>P</w:t>
      </w:r>
      <w:r>
        <w:rPr>
          <w:rFonts w:ascii="Times New Roman" w:hAnsi="Times New Roman"/>
          <w:b/>
          <w:bCs/>
          <w:color w:val="auto"/>
        </w:rPr>
        <w:t xml:space="preserve">lan malih del ČS Bežigrad </w:t>
      </w:r>
      <w:r>
        <w:rPr>
          <w:rFonts w:ascii="Times New Roman" w:hAnsi="Times New Roman"/>
          <w:b/>
          <w:bCs/>
          <w:color w:val="auto"/>
        </w:rPr>
        <w:tab/>
        <w:t>9.459</w:t>
      </w:r>
      <w:r w:rsidRPr="00FF793A">
        <w:rPr>
          <w:rFonts w:ascii="Times New Roman" w:hAnsi="Times New Roman"/>
          <w:b/>
          <w:bCs/>
          <w:color w:val="auto"/>
        </w:rPr>
        <w:t xml:space="preserve"> EUR</w:t>
      </w:r>
    </w:p>
    <w:p w:rsidR="001A4986" w:rsidRDefault="001A4986" w:rsidP="001A4986">
      <w:pPr>
        <w:rPr>
          <w:b/>
          <w:bCs/>
        </w:rPr>
      </w:pPr>
      <w:proofErr w:type="spellStart"/>
      <w:r w:rsidRPr="00FF793A">
        <w:rPr>
          <w:b/>
          <w:bCs/>
        </w:rPr>
        <w:t>Finančni</w:t>
      </w:r>
      <w:proofErr w:type="spellEnd"/>
      <w:r w:rsidRPr="00FF793A">
        <w:rPr>
          <w:b/>
          <w:bCs/>
        </w:rPr>
        <w:t xml:space="preserve"> </w:t>
      </w:r>
      <w:proofErr w:type="spellStart"/>
      <w:r w:rsidRPr="00FF793A">
        <w:rPr>
          <w:b/>
          <w:bCs/>
        </w:rPr>
        <w:t>načrt</w:t>
      </w:r>
      <w:proofErr w:type="spellEnd"/>
      <w:r w:rsidRPr="00FF793A">
        <w:rPr>
          <w:b/>
          <w:bCs/>
        </w:rPr>
        <w:t xml:space="preserve"> ČS Bežigrad</w:t>
      </w:r>
      <w:r w:rsidRPr="00FF793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proofErr w:type="gramStart"/>
      <w:r>
        <w:rPr>
          <w:b/>
          <w:bCs/>
        </w:rPr>
        <w:t xml:space="preserve">26.222 </w:t>
      </w:r>
      <w:r w:rsidRPr="00FF793A">
        <w:rPr>
          <w:b/>
          <w:bCs/>
        </w:rPr>
        <w:t xml:space="preserve"> EUR</w:t>
      </w:r>
      <w:proofErr w:type="gramEnd"/>
      <w:r>
        <w:rPr>
          <w:b/>
          <w:bCs/>
        </w:rPr>
        <w:t>.</w:t>
      </w:r>
    </w:p>
    <w:p w:rsidR="001A4986" w:rsidRDefault="001A4986" w:rsidP="001A4986">
      <w:pPr>
        <w:rPr>
          <w:b/>
          <w:bCs/>
        </w:rPr>
      </w:pPr>
    </w:p>
    <w:p w:rsidR="009E4FC0" w:rsidRPr="00BF1A8A" w:rsidRDefault="009E4FC0" w:rsidP="009E4FC0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Opredeljenih je bilo 11</w:t>
      </w:r>
      <w:r w:rsidRPr="00BF1A8A">
        <w:rPr>
          <w:bCs/>
          <w:szCs w:val="22"/>
          <w:lang w:val="sl-SI"/>
        </w:rPr>
        <w:t xml:space="preserve"> članov sveta.</w:t>
      </w:r>
    </w:p>
    <w:p w:rsidR="009E4FC0" w:rsidRPr="00BF1A8A" w:rsidRDefault="009E4FC0" w:rsidP="009E4FC0">
      <w:pPr>
        <w:jc w:val="both"/>
        <w:rPr>
          <w:bCs/>
          <w:szCs w:val="22"/>
          <w:lang w:val="sl-SI"/>
        </w:rPr>
      </w:pPr>
      <w:r w:rsidRPr="00BF1A8A">
        <w:rPr>
          <w:bCs/>
          <w:szCs w:val="22"/>
          <w:lang w:val="sl-SI"/>
        </w:rPr>
        <w:t>ZA je glasovalo 1</w:t>
      </w:r>
      <w:r>
        <w:rPr>
          <w:bCs/>
          <w:szCs w:val="22"/>
          <w:lang w:val="sl-SI"/>
        </w:rPr>
        <w:t>1</w:t>
      </w:r>
      <w:r w:rsidRPr="00BF1A8A">
        <w:rPr>
          <w:bCs/>
          <w:szCs w:val="22"/>
          <w:lang w:val="sl-SI"/>
        </w:rPr>
        <w:t xml:space="preserve"> članov sveta. </w:t>
      </w:r>
    </w:p>
    <w:p w:rsidR="009E4FC0" w:rsidRPr="00BF1A8A" w:rsidRDefault="009E4FC0" w:rsidP="009E4FC0">
      <w:pPr>
        <w:jc w:val="both"/>
        <w:outlineLvl w:val="0"/>
        <w:rPr>
          <w:bCs/>
          <w:szCs w:val="22"/>
          <w:lang w:val="sl-SI"/>
        </w:rPr>
      </w:pPr>
      <w:r w:rsidRPr="00BF1A8A">
        <w:rPr>
          <w:b/>
          <w:bCs/>
          <w:szCs w:val="22"/>
          <w:lang w:val="sl-SI"/>
        </w:rPr>
        <w:t>Sklep je bil sprejet</w:t>
      </w:r>
      <w:r w:rsidRPr="00BF1A8A">
        <w:rPr>
          <w:bCs/>
          <w:szCs w:val="22"/>
          <w:lang w:val="sl-SI"/>
        </w:rPr>
        <w:t>.</w:t>
      </w:r>
    </w:p>
    <w:p w:rsidR="009E4FC0" w:rsidRDefault="009E4FC0" w:rsidP="001A4986">
      <w:pPr>
        <w:rPr>
          <w:b/>
          <w:lang w:val="sl-SI"/>
        </w:rPr>
      </w:pPr>
      <w:r>
        <w:rPr>
          <w:b/>
          <w:lang w:val="sl-SI"/>
        </w:rPr>
        <w:t xml:space="preserve"> </w:t>
      </w:r>
    </w:p>
    <w:p w:rsidR="001A4986" w:rsidRDefault="001A4986" w:rsidP="001A4986">
      <w:pPr>
        <w:rPr>
          <w:b/>
          <w:lang w:val="sl-SI"/>
        </w:rPr>
      </w:pPr>
      <w:r>
        <w:rPr>
          <w:b/>
          <w:lang w:val="sl-SI"/>
        </w:rPr>
        <w:t>PREDLOG  SKLEPA 2/15</w:t>
      </w:r>
      <w:r w:rsidRPr="00F36832">
        <w:rPr>
          <w:b/>
          <w:lang w:val="sl-SI"/>
        </w:rPr>
        <w:t>-kor:</w:t>
      </w:r>
    </w:p>
    <w:p w:rsidR="001A4986" w:rsidRDefault="001A4986" w:rsidP="001A4986">
      <w:pPr>
        <w:rPr>
          <w:b/>
          <w:lang w:val="sl-SI"/>
        </w:rPr>
      </w:pPr>
      <w:r>
        <w:rPr>
          <w:b/>
          <w:lang w:val="sl-SI"/>
        </w:rPr>
        <w:t xml:space="preserve">V okviru finančnega načrta ČS Bežigrad se sredstva v višini 26.222 EUR razdelijo po </w:t>
      </w:r>
      <w:proofErr w:type="spellStart"/>
      <w:r>
        <w:rPr>
          <w:b/>
          <w:lang w:val="sl-SI"/>
        </w:rPr>
        <w:t>podkontih</w:t>
      </w:r>
      <w:proofErr w:type="spellEnd"/>
      <w:r>
        <w:rPr>
          <w:b/>
          <w:lang w:val="sl-SI"/>
        </w:rPr>
        <w:t>:</w:t>
      </w:r>
    </w:p>
    <w:tbl>
      <w:tblPr>
        <w:tblW w:w="1085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9"/>
        <w:gridCol w:w="540"/>
        <w:gridCol w:w="940"/>
        <w:gridCol w:w="190"/>
        <w:gridCol w:w="1043"/>
        <w:gridCol w:w="1203"/>
        <w:gridCol w:w="2782"/>
        <w:gridCol w:w="1056"/>
        <w:gridCol w:w="261"/>
        <w:gridCol w:w="146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46"/>
      </w:tblGrid>
      <w:tr w:rsidR="001A4986" w:rsidRPr="00F42F65" w:rsidTr="00121895">
        <w:trPr>
          <w:gridAfter w:val="2"/>
          <w:wAfter w:w="160" w:type="dxa"/>
          <w:trHeight w:val="375"/>
        </w:trPr>
        <w:tc>
          <w:tcPr>
            <w:tcW w:w="106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8"/>
                <w:szCs w:val="28"/>
                <w:lang w:val="sl-SI" w:eastAsia="sl-SI"/>
              </w:rPr>
            </w:pPr>
          </w:p>
        </w:tc>
      </w:tr>
      <w:tr w:rsidR="001A4986" w:rsidRPr="00F42F65" w:rsidTr="00121895">
        <w:trPr>
          <w:gridAfter w:val="2"/>
          <w:wAfter w:w="160" w:type="dxa"/>
          <w:trHeight w:val="240"/>
        </w:trPr>
        <w:tc>
          <w:tcPr>
            <w:tcW w:w="106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FINANČNI NAČRTI PRORAČUNSKIH UPORABNIKOV - IZDATKI PRORAČUNA po programski klasifikaciji (A)</w:t>
            </w:r>
          </w:p>
        </w:tc>
      </w:tr>
      <w:tr w:rsidR="001A4986" w:rsidRPr="00F42F65" w:rsidTr="00121895">
        <w:trPr>
          <w:trHeight w:val="13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375"/>
        </w:trPr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8"/>
                <w:szCs w:val="28"/>
                <w:lang w:val="sl-SI" w:eastAsia="sl-SI"/>
              </w:rPr>
            </w:pPr>
            <w:r w:rsidRPr="00F42F65">
              <w:rPr>
                <w:b/>
                <w:bCs/>
                <w:sz w:val="28"/>
                <w:szCs w:val="28"/>
                <w:lang w:val="sl-SI" w:eastAsia="sl-SI"/>
              </w:rPr>
              <w:t>ČETRTNE SKUPNOSTI MOL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A4986" w:rsidRPr="00F42F65" w:rsidRDefault="001A4986" w:rsidP="00121895">
            <w:pPr>
              <w:rPr>
                <w:sz w:val="28"/>
                <w:szCs w:val="28"/>
                <w:lang w:val="sl-SI" w:eastAsia="sl-SI"/>
              </w:rPr>
            </w:pPr>
            <w:r w:rsidRPr="00F42F65">
              <w:rPr>
                <w:sz w:val="28"/>
                <w:szCs w:val="28"/>
                <w:lang w:val="sl-SI"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18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480"/>
        </w:trPr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PPP/GPR/PPR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Postavka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Konto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Naziv postavke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4BC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6"/>
                <w:szCs w:val="16"/>
                <w:lang w:val="sl-SI" w:eastAsia="sl-SI"/>
              </w:rPr>
            </w:pPr>
            <w:r w:rsidRPr="00F42F65">
              <w:rPr>
                <w:b/>
                <w:bCs/>
                <w:sz w:val="16"/>
                <w:szCs w:val="16"/>
                <w:lang w:val="sl-SI" w:eastAsia="sl-SI"/>
              </w:rPr>
              <w:t>PRORAČUN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40"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2014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40"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18"/>
                <w:szCs w:val="18"/>
                <w:lang w:val="sl-SI" w:eastAsia="sl-SI"/>
              </w:rPr>
            </w:pPr>
            <w:r w:rsidRPr="00F42F65">
              <w:rPr>
                <w:b/>
                <w:bCs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10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18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986" w:rsidRPr="00F42F65" w:rsidRDefault="001A4986" w:rsidP="00121895">
            <w:pPr>
              <w:jc w:val="right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315"/>
        </w:trPr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5.3. ČETRTNA SKUPNOST BEŽIGRAD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13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  <w:t>06</w:t>
            </w:r>
          </w:p>
        </w:tc>
        <w:tc>
          <w:tcPr>
            <w:tcW w:w="2713" w:type="dxa"/>
            <w:gridSpan w:val="4"/>
            <w:tcBorders>
              <w:top w:val="single" w:sz="4" w:space="0" w:color="00FFFF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  <w:t xml:space="preserve"> LOKALNA SAMOUPRAVA</w:t>
            </w:r>
          </w:p>
        </w:tc>
        <w:tc>
          <w:tcPr>
            <w:tcW w:w="1203" w:type="dxa"/>
            <w:tcBorders>
              <w:top w:val="single" w:sz="4" w:space="0" w:color="00FFFF"/>
              <w:left w:val="nil"/>
              <w:bottom w:val="single" w:sz="4" w:space="0" w:color="00FFFF"/>
              <w:right w:val="nil"/>
            </w:tcBorders>
            <w:shd w:val="clear" w:color="auto" w:fill="auto"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single" w:sz="4" w:space="0" w:color="00FFFF"/>
              <w:left w:val="nil"/>
              <w:bottom w:val="single" w:sz="4" w:space="0" w:color="00FFFF"/>
              <w:right w:val="nil"/>
            </w:tcBorders>
            <w:shd w:val="clear" w:color="auto" w:fill="auto"/>
            <w:hideMark/>
          </w:tcPr>
          <w:p w:rsidR="001A4986" w:rsidRPr="00F42F65" w:rsidRDefault="001A4986" w:rsidP="00121895">
            <w:pPr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FFFF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color w:val="0000FF"/>
                <w:sz w:val="20"/>
                <w:szCs w:val="20"/>
                <w:lang w:val="sl-SI" w:eastAsia="sl-SI"/>
              </w:rPr>
              <w:t>26.322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gridAfter w:val="2"/>
          <w:wAfter w:w="160" w:type="dxa"/>
          <w:trHeight w:val="255"/>
        </w:trPr>
        <w:tc>
          <w:tcPr>
            <w:tcW w:w="1219" w:type="dxa"/>
            <w:tcBorders>
              <w:top w:val="nil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color w:val="000080"/>
                <w:sz w:val="20"/>
                <w:szCs w:val="20"/>
                <w:u w:val="single"/>
                <w:lang w:val="sl-SI" w:eastAsia="sl-SI"/>
              </w:rPr>
            </w:pPr>
            <w:r w:rsidRPr="00F42F65">
              <w:rPr>
                <w:b/>
                <w:bCs/>
                <w:color w:val="000080"/>
                <w:sz w:val="20"/>
                <w:szCs w:val="20"/>
                <w:u w:val="single"/>
                <w:lang w:val="sl-SI" w:eastAsia="sl-SI"/>
              </w:rPr>
              <w:t>0602</w:t>
            </w:r>
          </w:p>
        </w:tc>
        <w:tc>
          <w:tcPr>
            <w:tcW w:w="6158" w:type="dxa"/>
            <w:gridSpan w:val="5"/>
            <w:tcBorders>
              <w:top w:val="single" w:sz="4" w:space="0" w:color="00FFFF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color w:val="000080"/>
                <w:sz w:val="20"/>
                <w:szCs w:val="20"/>
                <w:u w:val="single"/>
                <w:lang w:val="sl-SI" w:eastAsia="sl-SI"/>
              </w:rPr>
            </w:pPr>
            <w:r w:rsidRPr="00F42F65">
              <w:rPr>
                <w:b/>
                <w:bCs/>
                <w:color w:val="000080"/>
                <w:sz w:val="20"/>
                <w:szCs w:val="20"/>
                <w:u w:val="single"/>
                <w:lang w:val="sl-SI" w:eastAsia="sl-SI"/>
              </w:rPr>
              <w:t>Sofinanciranje dejavnosti občin, ožjih delov občin in zvez občin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color w:val="000080"/>
                <w:sz w:val="20"/>
                <w:szCs w:val="20"/>
                <w:u w:val="single"/>
                <w:lang w:val="sl-SI" w:eastAsia="sl-SI"/>
              </w:rPr>
            </w:pPr>
            <w:r w:rsidRPr="00F42F65">
              <w:rPr>
                <w:b/>
                <w:bCs/>
                <w:color w:val="000080"/>
                <w:sz w:val="20"/>
                <w:szCs w:val="20"/>
                <w:u w:val="single"/>
                <w:lang w:val="sl-SI" w:eastAsia="sl-SI"/>
              </w:rPr>
              <w:t>26.322</w:t>
            </w: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gridAfter w:val="2"/>
          <w:wAfter w:w="160" w:type="dxa"/>
          <w:trHeight w:val="270"/>
        </w:trPr>
        <w:tc>
          <w:tcPr>
            <w:tcW w:w="1219" w:type="dxa"/>
            <w:tcBorders>
              <w:top w:val="nil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06029001</w:t>
            </w:r>
          </w:p>
        </w:tc>
        <w:tc>
          <w:tcPr>
            <w:tcW w:w="5218" w:type="dxa"/>
            <w:gridSpan w:val="4"/>
            <w:tcBorders>
              <w:top w:val="single" w:sz="4" w:space="0" w:color="00FFFF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Delovanje ožjih delov občin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FFFF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26.322</w:t>
            </w: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70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color w:val="00008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70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016010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vAlign w:val="center"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  <w:t>Četrtna skupnost Bežigrad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  <w:t>26.222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480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4020 03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Založniške in tiskarske storitve ter stroški fotokopiranja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6.300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 xml:space="preserve">4020 09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Izdatki za reprezentanco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600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sz w:val="20"/>
                <w:szCs w:val="20"/>
                <w:lang w:val="sl-SI" w:eastAsia="sl-SI"/>
              </w:rPr>
            </w:pPr>
            <w:r w:rsidRPr="00F42F65">
              <w:rPr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 xml:space="preserve">4020 99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Drugi splošni material in storitve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8.070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4022 05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Telefon, faks, elektronska pošta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300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 xml:space="preserve">4022 06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proofErr w:type="spellStart"/>
            <w:r w:rsidRPr="00F42F65">
              <w:rPr>
                <w:sz w:val="18"/>
                <w:szCs w:val="18"/>
                <w:lang w:val="sl-SI" w:eastAsia="sl-SI"/>
              </w:rPr>
              <w:t>Poštinina</w:t>
            </w:r>
            <w:proofErr w:type="spellEnd"/>
            <w:r w:rsidRPr="00F42F65">
              <w:rPr>
                <w:sz w:val="18"/>
                <w:szCs w:val="18"/>
                <w:lang w:val="sl-SI" w:eastAsia="sl-SI"/>
              </w:rPr>
              <w:t xml:space="preserve"> in kurirske storitve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3.400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 xml:space="preserve">4029 01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Plačila avtorskih honorarjev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1.100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 xml:space="preserve">4029 05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Sejnine udeležencem odborov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6.452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7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</w:p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016041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  <w:t>Glasilo ČS Bežigrad-namenska sredstva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          </w:t>
            </w:r>
            <w:r w:rsidRPr="00F42F65">
              <w:rPr>
                <w:b/>
                <w:bCs/>
                <w:i/>
                <w:iCs/>
                <w:sz w:val="20"/>
                <w:szCs w:val="20"/>
                <w:lang w:val="sl-SI" w:eastAsia="sl-SI"/>
              </w:rPr>
              <w:t>100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48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4020 03</w:t>
            </w:r>
          </w:p>
        </w:tc>
        <w:tc>
          <w:tcPr>
            <w:tcW w:w="2782" w:type="dxa"/>
            <w:tcBorders>
              <w:top w:val="single" w:sz="4" w:space="0" w:color="00FFFF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Založniške in tiskarske storitve ter stroški fotokopiranja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50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000000" w:fill="FFFFFF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 xml:space="preserve">4022 06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FFFF"/>
              <w:right w:val="single" w:sz="4" w:space="0" w:color="00FFFF"/>
            </w:tcBorders>
            <w:shd w:val="clear" w:color="000000" w:fill="FFFFFF"/>
            <w:hideMark/>
          </w:tcPr>
          <w:p w:rsidR="001A4986" w:rsidRPr="00F42F65" w:rsidRDefault="001A4986" w:rsidP="00121895">
            <w:pPr>
              <w:rPr>
                <w:sz w:val="18"/>
                <w:szCs w:val="18"/>
                <w:lang w:val="sl-SI" w:eastAsia="sl-SI"/>
              </w:rPr>
            </w:pPr>
            <w:r>
              <w:rPr>
                <w:sz w:val="18"/>
                <w:szCs w:val="18"/>
                <w:lang w:val="sl-SI" w:eastAsia="sl-SI"/>
              </w:rPr>
              <w:t>Pošt</w:t>
            </w:r>
            <w:r w:rsidRPr="00F42F65">
              <w:rPr>
                <w:sz w:val="18"/>
                <w:szCs w:val="18"/>
                <w:lang w:val="sl-SI" w:eastAsia="sl-SI"/>
              </w:rPr>
              <w:t>nina in kurirske storitve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18"/>
                <w:szCs w:val="18"/>
                <w:lang w:val="sl-SI" w:eastAsia="sl-SI"/>
              </w:rPr>
            </w:pPr>
            <w:r w:rsidRPr="00F42F65">
              <w:rPr>
                <w:sz w:val="18"/>
                <w:szCs w:val="18"/>
                <w:lang w:val="sl-SI" w:eastAsia="sl-SI"/>
              </w:rPr>
              <w:t>50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986" w:rsidRPr="00F42F65" w:rsidRDefault="001A4986" w:rsidP="00121895">
            <w:pPr>
              <w:jc w:val="center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86" w:rsidRPr="00F42F65" w:rsidRDefault="001A4986" w:rsidP="00121895">
            <w:pPr>
              <w:jc w:val="right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  <w:tr w:rsidR="001A4986" w:rsidRPr="00F42F65" w:rsidTr="00121895">
        <w:trPr>
          <w:trHeight w:val="255"/>
        </w:trPr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SKUPAJ ČETRTNA SKUPNOST BEŽIGRAD (A)</w:t>
            </w:r>
          </w:p>
          <w:p w:rsidR="001A4986" w:rsidRPr="00F42F65" w:rsidRDefault="001A4986" w:rsidP="00121895">
            <w:pPr>
              <w:rPr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986" w:rsidRPr="00F42F65" w:rsidRDefault="001A4986" w:rsidP="00121895">
            <w:pPr>
              <w:jc w:val="right"/>
              <w:rPr>
                <w:b/>
                <w:bCs/>
                <w:sz w:val="20"/>
                <w:szCs w:val="20"/>
                <w:lang w:val="sl-SI" w:eastAsia="sl-SI"/>
              </w:rPr>
            </w:pPr>
            <w:r w:rsidRPr="00F42F65">
              <w:rPr>
                <w:b/>
                <w:bCs/>
                <w:sz w:val="20"/>
                <w:szCs w:val="20"/>
                <w:lang w:val="sl-SI" w:eastAsia="sl-SI"/>
              </w:rPr>
              <w:t>26.322</w:t>
            </w:r>
          </w:p>
        </w:tc>
        <w:tc>
          <w:tcPr>
            <w:tcW w:w="421" w:type="dxa"/>
            <w:gridSpan w:val="3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46" w:type="dxa"/>
            <w:vAlign w:val="center"/>
            <w:hideMark/>
          </w:tcPr>
          <w:p w:rsidR="001A4986" w:rsidRPr="00F42F65" w:rsidRDefault="001A4986" w:rsidP="00121895">
            <w:pPr>
              <w:rPr>
                <w:sz w:val="20"/>
                <w:szCs w:val="20"/>
                <w:lang w:val="sl-SI" w:eastAsia="sl-SI"/>
              </w:rPr>
            </w:pPr>
          </w:p>
        </w:tc>
      </w:tr>
    </w:tbl>
    <w:p w:rsidR="001A4986" w:rsidRDefault="001A4986" w:rsidP="001A4986">
      <w:pPr>
        <w:ind w:left="-993"/>
        <w:rPr>
          <w:b/>
          <w:lang w:val="sl-SI"/>
        </w:rPr>
      </w:pPr>
    </w:p>
    <w:p w:rsidR="009E4FC0" w:rsidRPr="00BF1A8A" w:rsidRDefault="009E4FC0" w:rsidP="009E4FC0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Opredeljenih je bilo 11</w:t>
      </w:r>
      <w:r w:rsidRPr="00BF1A8A">
        <w:rPr>
          <w:bCs/>
          <w:szCs w:val="22"/>
          <w:lang w:val="sl-SI"/>
        </w:rPr>
        <w:t xml:space="preserve"> članov sveta.</w:t>
      </w:r>
    </w:p>
    <w:p w:rsidR="009E4FC0" w:rsidRPr="00BF1A8A" w:rsidRDefault="009E4FC0" w:rsidP="009E4FC0">
      <w:pPr>
        <w:jc w:val="both"/>
        <w:rPr>
          <w:bCs/>
          <w:szCs w:val="22"/>
          <w:lang w:val="sl-SI"/>
        </w:rPr>
      </w:pPr>
      <w:r w:rsidRPr="00BF1A8A">
        <w:rPr>
          <w:bCs/>
          <w:szCs w:val="22"/>
          <w:lang w:val="sl-SI"/>
        </w:rPr>
        <w:t>ZA je glasovalo 1</w:t>
      </w:r>
      <w:r>
        <w:rPr>
          <w:bCs/>
          <w:szCs w:val="22"/>
          <w:lang w:val="sl-SI"/>
        </w:rPr>
        <w:t>1</w:t>
      </w:r>
      <w:r w:rsidRPr="00BF1A8A">
        <w:rPr>
          <w:bCs/>
          <w:szCs w:val="22"/>
          <w:lang w:val="sl-SI"/>
        </w:rPr>
        <w:t xml:space="preserve"> članov sveta. </w:t>
      </w:r>
    </w:p>
    <w:p w:rsidR="009E4FC0" w:rsidRPr="00BF1A8A" w:rsidRDefault="009E4FC0" w:rsidP="009E4FC0">
      <w:pPr>
        <w:jc w:val="both"/>
        <w:outlineLvl w:val="0"/>
        <w:rPr>
          <w:bCs/>
          <w:szCs w:val="22"/>
          <w:lang w:val="sl-SI"/>
        </w:rPr>
      </w:pPr>
      <w:r w:rsidRPr="00BF1A8A">
        <w:rPr>
          <w:b/>
          <w:bCs/>
          <w:szCs w:val="22"/>
          <w:lang w:val="sl-SI"/>
        </w:rPr>
        <w:t>Sklep je bil sprejet</w:t>
      </w:r>
      <w:r w:rsidRPr="00BF1A8A">
        <w:rPr>
          <w:bCs/>
          <w:szCs w:val="22"/>
          <w:lang w:val="sl-SI"/>
        </w:rPr>
        <w:t>.</w:t>
      </w:r>
    </w:p>
    <w:p w:rsidR="001A4986" w:rsidRDefault="001A4986" w:rsidP="001A4986">
      <w:pPr>
        <w:jc w:val="both"/>
        <w:rPr>
          <w:b/>
          <w:lang w:val="sl-SI"/>
        </w:rPr>
      </w:pPr>
    </w:p>
    <w:p w:rsidR="009E4FC0" w:rsidRPr="00F75887" w:rsidRDefault="009E4FC0" w:rsidP="001A4986">
      <w:pPr>
        <w:jc w:val="both"/>
        <w:rPr>
          <w:b/>
          <w:lang w:val="sl-SI"/>
        </w:rPr>
      </w:pPr>
    </w:p>
    <w:p w:rsidR="001A4986" w:rsidRDefault="001A4986" w:rsidP="001A4986">
      <w:pPr>
        <w:rPr>
          <w:b/>
          <w:lang w:val="sl-SI"/>
        </w:rPr>
      </w:pPr>
      <w:r>
        <w:rPr>
          <w:b/>
          <w:lang w:val="sl-SI"/>
        </w:rPr>
        <w:t>PREDLOG  SKLEPA 3/15</w:t>
      </w:r>
      <w:r w:rsidRPr="00F36832">
        <w:rPr>
          <w:b/>
          <w:lang w:val="sl-SI"/>
        </w:rPr>
        <w:t>-kor:</w:t>
      </w:r>
    </w:p>
    <w:p w:rsidR="001A4986" w:rsidRDefault="001A4986" w:rsidP="001A4986">
      <w:pPr>
        <w:rPr>
          <w:b/>
          <w:lang w:val="sl-SI"/>
        </w:rPr>
      </w:pPr>
      <w:r>
        <w:rPr>
          <w:b/>
          <w:lang w:val="sl-SI"/>
        </w:rPr>
        <w:t>Zaradi spremembe stopnje DDV in s tem spremembe cen izvedbe malih del ter zaradi izvedbe nekaterih del v letu 2013,  Svet ČS Bežigrad sprejema naslednji Plan malih del ČS Bežigrad MOL za leto 2014:</w:t>
      </w:r>
    </w:p>
    <w:p w:rsidR="001A4986" w:rsidRDefault="001A4986" w:rsidP="001A4986">
      <w:pPr>
        <w:rPr>
          <w:b/>
          <w:lang w:val="sl-SI"/>
        </w:rPr>
      </w:pPr>
    </w:p>
    <w:tbl>
      <w:tblPr>
        <w:tblW w:w="1003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157"/>
        <w:gridCol w:w="3202"/>
      </w:tblGrid>
      <w:tr w:rsidR="001A4986" w:rsidTr="00A42979">
        <w:tc>
          <w:tcPr>
            <w:tcW w:w="10031" w:type="dxa"/>
            <w:gridSpan w:val="3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DC04B8">
              <w:rPr>
                <w:b/>
              </w:rPr>
              <w:t>ČETRTNA SKUPNOST BEŽIGRAD</w:t>
            </w:r>
          </w:p>
        </w:tc>
      </w:tr>
      <w:tr w:rsidR="001A4986" w:rsidTr="00A42979">
        <w:tc>
          <w:tcPr>
            <w:tcW w:w="672" w:type="dxa"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  <w:r>
              <w:t xml:space="preserve">Zap. </w:t>
            </w:r>
            <w:proofErr w:type="spellStart"/>
            <w:proofErr w:type="gramStart"/>
            <w:r>
              <w:t>št</w:t>
            </w:r>
            <w:proofErr w:type="spellEnd"/>
            <w:proofErr w:type="gramEnd"/>
            <w:r>
              <w:t>.</w:t>
            </w:r>
          </w:p>
        </w:tc>
        <w:tc>
          <w:tcPr>
            <w:tcW w:w="6157" w:type="dxa"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  <w:jc w:val="center"/>
            </w:pPr>
            <w:r>
              <w:t>MALO DELO – OPIS</w:t>
            </w:r>
          </w:p>
        </w:tc>
        <w:tc>
          <w:tcPr>
            <w:tcW w:w="3202" w:type="dxa"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  <w:jc w:val="center"/>
            </w:pPr>
            <w:r>
              <w:t>ZNESEK</w:t>
            </w:r>
          </w:p>
        </w:tc>
      </w:tr>
      <w:tr w:rsidR="001A4986" w:rsidTr="00A42979">
        <w:tc>
          <w:tcPr>
            <w:tcW w:w="672" w:type="dxa"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  <w:r>
              <w:t>1.</w:t>
            </w: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0000"/>
                <w:lang w:eastAsia="sl-SI"/>
              </w:rPr>
            </w:pPr>
            <w:r>
              <w:t xml:space="preserve">10x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obrez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dreves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Šarhova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ulica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 (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obžaganje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dreves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nad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15-20 m);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parcelna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številka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236/</w:t>
            </w:r>
            <w:r w:rsidRPr="00DC04B8">
              <w:rPr>
                <w:rFonts w:ascii="Calibri" w:hAnsi="Calibri"/>
                <w:lang w:eastAsia="sl-SI"/>
              </w:rPr>
              <w:t>30</w:t>
            </w:r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k.o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.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Brinje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I  - v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lasti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MOL</w:t>
            </w:r>
            <w:r w:rsidRPr="00DC04B8">
              <w:rPr>
                <w:rFonts w:ascii="Calibri" w:hAnsi="Calibri"/>
                <w:b/>
                <w:bCs/>
                <w:color w:val="000000"/>
                <w:lang w:eastAsia="sl-SI"/>
              </w:rPr>
              <w:t xml:space="preserve">  - </w:t>
            </w:r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 xml:space="preserve">del </w:t>
            </w:r>
            <w:proofErr w:type="spellStart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>parcele</w:t>
            </w:r>
            <w:proofErr w:type="spellEnd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 xml:space="preserve"> med  </w:t>
            </w:r>
            <w:proofErr w:type="spellStart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>objekti</w:t>
            </w:r>
            <w:proofErr w:type="spellEnd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>h.š</w:t>
            </w:r>
            <w:proofErr w:type="spellEnd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 xml:space="preserve">. </w:t>
            </w:r>
            <w:proofErr w:type="spellStart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>Šarhova</w:t>
            </w:r>
            <w:proofErr w:type="spellEnd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 xml:space="preserve"> 28, 30, 32 in 34 </w:t>
            </w:r>
            <w:proofErr w:type="spellStart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>odstranitev</w:t>
            </w:r>
            <w:proofErr w:type="spellEnd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>suhih</w:t>
            </w:r>
            <w:proofErr w:type="spellEnd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bCs/>
                <w:color w:val="000000"/>
                <w:lang w:eastAsia="sl-SI"/>
              </w:rPr>
              <w:t>vej</w:t>
            </w:r>
            <w:proofErr w:type="spellEnd"/>
            <w:r w:rsidRPr="00DC04B8">
              <w:rPr>
                <w:rFonts w:ascii="Calibri" w:hAnsi="Calibri"/>
                <w:b/>
                <w:bCs/>
                <w:color w:val="000000"/>
                <w:lang w:eastAsia="sl-SI"/>
              </w:rPr>
              <w:t xml:space="preserve"> </w:t>
            </w:r>
          </w:p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  <w:r w:rsidRPr="00DC04B8">
              <w:rPr>
                <w:rFonts w:ascii="Calibri" w:hAnsi="Calibri"/>
                <w:color w:val="000000"/>
                <w:lang w:eastAsia="sl-SI"/>
              </w:rPr>
              <w:t xml:space="preserve">(oz.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na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drugi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lokaciji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v ČS)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10x126,27 EUR 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 xml:space="preserve">1267 EUR </w:t>
            </w:r>
          </w:p>
        </w:tc>
      </w:tr>
      <w:tr w:rsidR="001A4986" w:rsidTr="00A42979">
        <w:tc>
          <w:tcPr>
            <w:tcW w:w="672" w:type="dxa"/>
            <w:vMerge w:val="restart"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  <w:r>
              <w:t xml:space="preserve">2. </w:t>
            </w:r>
          </w:p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</w:tcPr>
          <w:p w:rsidR="001A4986" w:rsidRPr="008C26A8" w:rsidRDefault="001A4986" w:rsidP="00121895">
            <w:pPr>
              <w:tabs>
                <w:tab w:val="center" w:pos="4320"/>
                <w:tab w:val="right" w:pos="8640"/>
              </w:tabs>
            </w:pPr>
            <w:r w:rsidRPr="00DC04B8">
              <w:rPr>
                <w:rFonts w:ascii="Calibri" w:hAnsi="Calibri"/>
                <w:lang w:eastAsia="sl-SI"/>
              </w:rPr>
              <w:t xml:space="preserve">1x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letno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košnja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zelenice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in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odvoz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–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zelenica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ob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Linhartovi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cesti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–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nad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zakloniščem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in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širše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med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Stolpniško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ul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</w:t>
            </w:r>
            <w:proofErr w:type="gramStart"/>
            <w:r w:rsidRPr="00DC04B8">
              <w:rPr>
                <w:rFonts w:ascii="Calibri" w:hAnsi="Calibri"/>
                <w:lang w:eastAsia="sl-SI"/>
              </w:rPr>
              <w:t>in</w:t>
            </w:r>
            <w:proofErr w:type="gram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Sočo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–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parceli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št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1294/68 in del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parcele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1294/26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k.o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Bežigrad –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obe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last MOL – 2.400 m2 –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košnja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v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maju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2.400 m2*0,1785 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428 EUR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</w:tcPr>
          <w:p w:rsidR="001A4986" w:rsidRPr="008C26A8" w:rsidRDefault="001A4986" w:rsidP="00121895">
            <w:pPr>
              <w:tabs>
                <w:tab w:val="center" w:pos="4320"/>
                <w:tab w:val="right" w:pos="8640"/>
              </w:tabs>
            </w:pPr>
            <w:proofErr w:type="spellStart"/>
            <w:r w:rsidRPr="00DC04B8">
              <w:rPr>
                <w:rFonts w:ascii="Calibri" w:hAnsi="Calibri"/>
                <w:lang w:eastAsia="sl-SI"/>
              </w:rPr>
              <w:t>čiščenje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pokošene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površine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2400 m2*0,1074 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258 EUR</w:t>
            </w:r>
          </w:p>
        </w:tc>
      </w:tr>
      <w:tr w:rsidR="001A4986" w:rsidTr="00A42979">
        <w:tc>
          <w:tcPr>
            <w:tcW w:w="672" w:type="dxa"/>
            <w:vMerge w:val="restart"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  <w:r>
              <w:t>3.</w:t>
            </w:r>
          </w:p>
        </w:tc>
        <w:tc>
          <w:tcPr>
            <w:tcW w:w="6157" w:type="dxa"/>
          </w:tcPr>
          <w:p w:rsidR="001A4986" w:rsidRPr="008C26A8" w:rsidRDefault="001A4986" w:rsidP="00121895">
            <w:pPr>
              <w:tabs>
                <w:tab w:val="center" w:pos="4320"/>
                <w:tab w:val="right" w:pos="8640"/>
              </w:tabs>
            </w:pPr>
            <w:r w:rsidRPr="00DC04B8">
              <w:rPr>
                <w:rFonts w:ascii="Calibri" w:hAnsi="Calibri"/>
                <w:lang w:eastAsia="sl-SI"/>
              </w:rPr>
              <w:t xml:space="preserve">4 x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letno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proofErr w:type="gramStart"/>
            <w:r w:rsidRPr="00DC04B8">
              <w:rPr>
                <w:rFonts w:ascii="Calibri" w:hAnsi="Calibri"/>
                <w:lang w:eastAsia="sl-SI"/>
              </w:rPr>
              <w:t>košnja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dela</w:t>
            </w:r>
            <w:proofErr w:type="spellEnd"/>
            <w:proofErr w:type="gram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zelenice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pri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otroškem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igrišču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II. </w:t>
            </w:r>
            <w:proofErr w:type="spellStart"/>
            <w:proofErr w:type="gramStart"/>
            <w:r w:rsidRPr="00DC04B8">
              <w:rPr>
                <w:rFonts w:ascii="Calibri" w:hAnsi="Calibri"/>
                <w:lang w:eastAsia="sl-SI"/>
              </w:rPr>
              <w:t>kategorije</w:t>
            </w:r>
            <w:proofErr w:type="spellEnd"/>
            <w:proofErr w:type="gramEnd"/>
            <w:r w:rsidRPr="00DC04B8">
              <w:rPr>
                <w:rFonts w:ascii="Calibri" w:hAnsi="Calibri"/>
                <w:lang w:eastAsia="sl-SI"/>
              </w:rPr>
              <w:t xml:space="preserve"> ob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ul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Pohorskega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bataljona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- del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parcele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št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246/8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k.o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Brinje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I. v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lasti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MOL - 800 m2 (del med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objekti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Šarhova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2-8 in 16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ter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OI Poh.bat)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800m2*4*0,0281 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90 EUR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Pr="00965777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</w:tcPr>
          <w:p w:rsidR="001A4986" w:rsidRPr="008C26A8" w:rsidRDefault="001A4986" w:rsidP="00121895">
            <w:pPr>
              <w:tabs>
                <w:tab w:val="center" w:pos="4320"/>
                <w:tab w:val="right" w:pos="8640"/>
              </w:tabs>
            </w:pPr>
            <w:proofErr w:type="spellStart"/>
            <w:r w:rsidRPr="00DC04B8">
              <w:rPr>
                <w:rFonts w:ascii="Calibri" w:hAnsi="Calibri"/>
                <w:lang w:eastAsia="sl-SI"/>
              </w:rPr>
              <w:t>čiščenje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pokošene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površine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800m2*4*0,0449 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144 EUR</w:t>
            </w:r>
          </w:p>
        </w:tc>
      </w:tr>
      <w:tr w:rsidR="001A4986" w:rsidTr="00A42979">
        <w:tc>
          <w:tcPr>
            <w:tcW w:w="672" w:type="dxa"/>
            <w:vMerge w:val="restart"/>
          </w:tcPr>
          <w:p w:rsidR="001A4986" w:rsidRPr="006F6CF6" w:rsidRDefault="001A4986" w:rsidP="00121895">
            <w:pPr>
              <w:tabs>
                <w:tab w:val="center" w:pos="4320"/>
                <w:tab w:val="right" w:pos="8640"/>
              </w:tabs>
            </w:pPr>
            <w:r w:rsidRPr="006F6CF6">
              <w:t>4.</w:t>
            </w: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r w:rsidRPr="00DC04B8">
              <w:rPr>
                <w:rFonts w:ascii="Calibri" w:hAnsi="Calibri"/>
                <w:lang w:eastAsia="sl-SI"/>
              </w:rPr>
              <w:t xml:space="preserve">2x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letno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intervencijska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košnja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na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ravnini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in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brežini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-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zelenica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med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Šarhovo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in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Hubadovo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ulico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,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ravnina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1300m2,brežina 500m2 -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parcelna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številka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236/17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k.o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Brinje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  - v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lasti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MOL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1800m2*2*0,1785 EUR/m2=</w:t>
            </w:r>
          </w:p>
          <w:p w:rsidR="001A4986" w:rsidRPr="00D12D68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= SKUPAJ:</w:t>
            </w:r>
            <w:r w:rsidRPr="00DC04B8">
              <w:rPr>
                <w:b/>
              </w:rPr>
              <w:t xml:space="preserve"> 643</w:t>
            </w:r>
            <w:r>
              <w:t xml:space="preserve"> </w:t>
            </w:r>
            <w:r w:rsidRPr="00DC04B8">
              <w:rPr>
                <w:b/>
              </w:rPr>
              <w:t>EUR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proofErr w:type="spellStart"/>
            <w:r w:rsidRPr="00DC04B8">
              <w:rPr>
                <w:rFonts w:ascii="Calibri" w:hAnsi="Calibri"/>
                <w:lang w:eastAsia="sl-SI"/>
              </w:rPr>
              <w:t>čiščenje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pokošene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površine</w:t>
            </w:r>
            <w:proofErr w:type="spellEnd"/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1800m2*2*0,1074 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=SKUPAJ: 387  EUR</w:t>
            </w:r>
          </w:p>
        </w:tc>
      </w:tr>
      <w:tr w:rsidR="001A4986" w:rsidTr="00A42979">
        <w:tc>
          <w:tcPr>
            <w:tcW w:w="67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  <w:r>
              <w:t>5.</w:t>
            </w: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FF0000"/>
                <w:lang w:eastAsia="sl-SI"/>
              </w:rPr>
            </w:pPr>
            <w:proofErr w:type="spellStart"/>
            <w:proofErr w:type="gramStart"/>
            <w:r w:rsidRPr="00DC04B8">
              <w:rPr>
                <w:rFonts w:ascii="Calibri" w:hAnsi="Calibri"/>
                <w:lang w:eastAsia="sl-SI"/>
              </w:rPr>
              <w:t>zasaditev</w:t>
            </w:r>
            <w:proofErr w:type="spellEnd"/>
            <w:proofErr w:type="gram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dveh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novih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dreves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fi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18/20 –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na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območju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med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Majaronovo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ulico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in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Luize-Pesjakovo</w:t>
            </w:r>
            <w:proofErr w:type="spellEnd"/>
            <w:r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sl-SI"/>
              </w:rPr>
              <w:t>parcelna</w:t>
            </w:r>
            <w:proofErr w:type="spellEnd"/>
            <w:r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sl-SI"/>
              </w:rPr>
              <w:t>št</w:t>
            </w:r>
            <w:proofErr w:type="spellEnd"/>
            <w:r>
              <w:rPr>
                <w:rFonts w:ascii="Calibri" w:hAnsi="Calibri"/>
                <w:lang w:eastAsia="sl-SI"/>
              </w:rPr>
              <w:t xml:space="preserve">. 1625/1 </w:t>
            </w:r>
            <w:proofErr w:type="spellStart"/>
            <w:r>
              <w:rPr>
                <w:rFonts w:ascii="Calibri" w:hAnsi="Calibri"/>
                <w:lang w:eastAsia="sl-SI"/>
              </w:rPr>
              <w:t>k.o</w:t>
            </w:r>
            <w:proofErr w:type="spellEnd"/>
            <w:r>
              <w:rPr>
                <w:rFonts w:ascii="Calibri" w:hAnsi="Calibri"/>
                <w:lang w:eastAsia="sl-SI"/>
              </w:rPr>
              <w:t xml:space="preserve">. Bežigrad </w:t>
            </w:r>
            <w:r>
              <w:rPr>
                <w:rFonts w:ascii="Calibri" w:hAnsi="Calibri"/>
                <w:b/>
                <w:lang w:eastAsia="sl-SI"/>
              </w:rPr>
              <w:t xml:space="preserve">– </w:t>
            </w:r>
            <w:r w:rsidRPr="007505AE">
              <w:rPr>
                <w:rFonts w:ascii="Calibri" w:hAnsi="Calibri"/>
                <w:lang w:eastAsia="sl-SI"/>
              </w:rPr>
              <w:t xml:space="preserve">v </w:t>
            </w:r>
            <w:proofErr w:type="spellStart"/>
            <w:r w:rsidRPr="007505AE">
              <w:rPr>
                <w:rFonts w:ascii="Calibri" w:hAnsi="Calibri"/>
                <w:lang w:eastAsia="sl-SI"/>
              </w:rPr>
              <w:t>lasti</w:t>
            </w:r>
            <w:proofErr w:type="spellEnd"/>
            <w:r w:rsidRPr="007505AE">
              <w:rPr>
                <w:rFonts w:ascii="Calibri" w:hAnsi="Calibri"/>
                <w:lang w:eastAsia="sl-SI"/>
              </w:rPr>
              <w:t xml:space="preserve"> MOL</w:t>
            </w:r>
          </w:p>
        </w:tc>
        <w:tc>
          <w:tcPr>
            <w:tcW w:w="3202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E02027">
              <w:t>2x 378,20 EUR</w:t>
            </w:r>
            <w:r w:rsidRPr="00DC04B8">
              <w:rPr>
                <w:b/>
              </w:rPr>
              <w:t xml:space="preserve"> 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=756 EUR</w:t>
            </w:r>
          </w:p>
        </w:tc>
      </w:tr>
      <w:tr w:rsidR="001A4986" w:rsidTr="00A42979">
        <w:tc>
          <w:tcPr>
            <w:tcW w:w="672" w:type="dxa"/>
            <w:vMerge w:val="restart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  <w:r>
              <w:t>6.</w:t>
            </w:r>
          </w:p>
        </w:tc>
        <w:tc>
          <w:tcPr>
            <w:tcW w:w="6157" w:type="dxa"/>
            <w:vAlign w:val="bottom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r w:rsidRPr="00DC04B8">
              <w:rPr>
                <w:rFonts w:ascii="Calibri" w:hAnsi="Calibri"/>
                <w:lang w:eastAsia="sl-SI"/>
              </w:rPr>
              <w:t xml:space="preserve">2 x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letno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intervencijska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proofErr w:type="gramStart"/>
            <w:r w:rsidRPr="00DC04B8">
              <w:rPr>
                <w:rFonts w:ascii="Calibri" w:hAnsi="Calibri"/>
                <w:lang w:eastAsia="sl-SI"/>
              </w:rPr>
              <w:t>košnja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dela</w:t>
            </w:r>
            <w:proofErr w:type="spellEnd"/>
            <w:proofErr w:type="gram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zelenice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med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Novakovo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in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Topniško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ulico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- del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parcele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št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1603/2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k.o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Bežigrad v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lasti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MOL - 1500</w:t>
            </w:r>
            <w:r w:rsidRPr="00DC04B8">
              <w:rPr>
                <w:rFonts w:ascii="Calibri" w:hAnsi="Calibri"/>
                <w:b/>
                <w:bCs/>
                <w:i/>
                <w:iCs/>
                <w:lang w:eastAsia="sl-SI"/>
              </w:rPr>
              <w:t xml:space="preserve"> </w:t>
            </w:r>
            <w:r w:rsidRPr="00DC04B8">
              <w:rPr>
                <w:rFonts w:ascii="Calibri" w:hAnsi="Calibri"/>
                <w:bCs/>
                <w:iCs/>
                <w:lang w:eastAsia="sl-SI"/>
              </w:rPr>
              <w:t>m2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1500m2*2*0,1785 EUR=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536 EUR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proofErr w:type="spellStart"/>
            <w:r w:rsidRPr="00DC04B8">
              <w:rPr>
                <w:rFonts w:ascii="Calibri" w:hAnsi="Calibri"/>
                <w:lang w:eastAsia="sl-SI"/>
              </w:rPr>
              <w:t>čiščenje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pokošene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površine</w:t>
            </w:r>
            <w:proofErr w:type="spellEnd"/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1500m2*2*0,1074EUR=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322 EUR</w:t>
            </w:r>
          </w:p>
        </w:tc>
      </w:tr>
      <w:tr w:rsidR="001A4986" w:rsidTr="00A42979">
        <w:tc>
          <w:tcPr>
            <w:tcW w:w="672" w:type="dxa"/>
            <w:vMerge w:val="restart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  <w:r>
              <w:t>7.</w:t>
            </w:r>
          </w:p>
        </w:tc>
        <w:tc>
          <w:tcPr>
            <w:tcW w:w="6157" w:type="dxa"/>
            <w:vAlign w:val="center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r w:rsidRPr="00DC04B8">
              <w:rPr>
                <w:rFonts w:ascii="Calibri" w:hAnsi="Calibri"/>
                <w:lang w:eastAsia="sl-SI"/>
              </w:rPr>
              <w:t xml:space="preserve">1x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nizko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plezalo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/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otr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</w:t>
            </w:r>
            <w:proofErr w:type="spellStart"/>
            <w:proofErr w:type="gramStart"/>
            <w:r w:rsidRPr="00DC04B8">
              <w:rPr>
                <w:rFonts w:ascii="Calibri" w:hAnsi="Calibri"/>
                <w:lang w:eastAsia="sl-SI"/>
              </w:rPr>
              <w:t>igrišče</w:t>
            </w:r>
            <w:proofErr w:type="spellEnd"/>
            <w:proofErr w:type="gramEnd"/>
            <w:r w:rsidRPr="00DC04B8">
              <w:rPr>
                <w:rFonts w:ascii="Calibri" w:hAnsi="Calibri"/>
                <w:lang w:eastAsia="sl-SI"/>
              </w:rPr>
              <w:t xml:space="preserve"> III.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kategorije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izboru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ČS/</w:t>
            </w:r>
          </w:p>
        </w:tc>
        <w:tc>
          <w:tcPr>
            <w:tcW w:w="3202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1409 EUR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  <w:vAlign w:val="center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proofErr w:type="spellStart"/>
            <w:r w:rsidRPr="00DC04B8">
              <w:rPr>
                <w:rFonts w:ascii="Calibri" w:hAnsi="Calibri"/>
                <w:lang w:eastAsia="sl-SI"/>
              </w:rPr>
              <w:t>Izdelava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podlage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iz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prodca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v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debelini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30 cm</w:t>
            </w:r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8m2*15,4452 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124 EUR</w:t>
            </w:r>
          </w:p>
        </w:tc>
      </w:tr>
      <w:tr w:rsidR="001A4986" w:rsidTr="00A42979">
        <w:tc>
          <w:tcPr>
            <w:tcW w:w="672" w:type="dxa"/>
            <w:vMerge w:val="restart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  <w:r>
              <w:t>8.*</w:t>
            </w:r>
          </w:p>
        </w:tc>
        <w:tc>
          <w:tcPr>
            <w:tcW w:w="6157" w:type="dxa"/>
            <w:vAlign w:val="center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FF0000"/>
                <w:lang w:eastAsia="sl-SI"/>
              </w:rPr>
            </w:pP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Postavitev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fitnes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naprav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na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športnih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igriščih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v BS -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parcelna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številka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408/79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k.o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.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Brinje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I - v </w:t>
            </w:r>
            <w:proofErr w:type="spellStart"/>
            <w:r w:rsidRPr="00DC04B8">
              <w:rPr>
                <w:rFonts w:ascii="Calibri" w:hAnsi="Calibri"/>
                <w:color w:val="000000"/>
                <w:lang w:eastAsia="sl-SI"/>
              </w:rPr>
              <w:t>lasti</w:t>
            </w:r>
            <w:proofErr w:type="spellEnd"/>
            <w:r w:rsidRPr="00DC04B8">
              <w:rPr>
                <w:rFonts w:ascii="Calibri" w:hAnsi="Calibri"/>
                <w:color w:val="000000"/>
                <w:lang w:eastAsia="sl-SI"/>
              </w:rPr>
              <w:t xml:space="preserve"> MOL:</w:t>
            </w:r>
          </w:p>
        </w:tc>
        <w:tc>
          <w:tcPr>
            <w:tcW w:w="3202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color w:val="FF0000"/>
              </w:rPr>
            </w:pPr>
          </w:p>
        </w:tc>
      </w:tr>
      <w:tr w:rsidR="001A4986" w:rsidTr="00A42979">
        <w:tc>
          <w:tcPr>
            <w:tcW w:w="672" w:type="dxa"/>
            <w:vMerge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  <w:vAlign w:val="center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FF0000"/>
                <w:lang w:eastAsia="sl-SI"/>
              </w:rPr>
            </w:pPr>
            <w:r w:rsidRPr="00DC04B8">
              <w:rPr>
                <w:rFonts w:ascii="Calibri" w:hAnsi="Calibri"/>
                <w:color w:val="000000"/>
                <w:sz w:val="20"/>
                <w:szCs w:val="20"/>
                <w:lang w:eastAsia="sl-SI"/>
              </w:rPr>
              <w:t>- Waist trainer 1x</w:t>
            </w:r>
          </w:p>
        </w:tc>
        <w:tc>
          <w:tcPr>
            <w:tcW w:w="3202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 xml:space="preserve">1037 EUR 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  <w:vAlign w:val="center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FF0000"/>
                <w:lang w:eastAsia="sl-SI"/>
              </w:rPr>
            </w:pPr>
            <w:r w:rsidRPr="00DC04B8">
              <w:rPr>
                <w:color w:val="000000"/>
                <w:sz w:val="20"/>
                <w:szCs w:val="20"/>
                <w:lang w:eastAsia="sl-SI"/>
              </w:rPr>
              <w:t>- lying curve 1x</w:t>
            </w:r>
          </w:p>
        </w:tc>
        <w:tc>
          <w:tcPr>
            <w:tcW w:w="3202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 xml:space="preserve">1025 EUR 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  <w:vAlign w:val="center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FF0000"/>
                <w:lang w:eastAsia="sl-SI"/>
              </w:rPr>
            </w:pPr>
            <w:proofErr w:type="spellStart"/>
            <w:r w:rsidRPr="00DC04B8">
              <w:rPr>
                <w:color w:val="000000"/>
                <w:sz w:val="20"/>
                <w:szCs w:val="20"/>
                <w:lang w:eastAsia="sl-SI"/>
              </w:rPr>
              <w:t>vkop</w:t>
            </w:r>
            <w:proofErr w:type="spellEnd"/>
            <w:r w:rsidRPr="00DC04B8">
              <w:rPr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C04B8">
              <w:rPr>
                <w:color w:val="000000"/>
                <w:sz w:val="20"/>
                <w:szCs w:val="20"/>
                <w:lang w:eastAsia="sl-SI"/>
              </w:rPr>
              <w:t>sidrišč</w:t>
            </w:r>
            <w:proofErr w:type="spellEnd"/>
            <w:r w:rsidRPr="00DC04B8">
              <w:rPr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DC04B8">
              <w:rPr>
                <w:color w:val="000000"/>
                <w:sz w:val="20"/>
                <w:szCs w:val="20"/>
                <w:lang w:eastAsia="sl-SI"/>
              </w:rPr>
              <w:t>montaža</w:t>
            </w:r>
            <w:proofErr w:type="spellEnd"/>
            <w:r w:rsidRPr="00DC04B8">
              <w:rPr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C04B8">
              <w:rPr>
                <w:color w:val="000000"/>
                <w:sz w:val="20"/>
                <w:szCs w:val="20"/>
                <w:lang w:eastAsia="sl-SI"/>
              </w:rPr>
              <w:t>naprave</w:t>
            </w:r>
            <w:proofErr w:type="spellEnd"/>
            <w:r w:rsidRPr="00DC04B8">
              <w:rPr>
                <w:color w:val="000000"/>
                <w:sz w:val="20"/>
                <w:szCs w:val="20"/>
                <w:lang w:eastAsia="sl-SI"/>
              </w:rPr>
              <w:t xml:space="preserve"> – 2x</w:t>
            </w:r>
          </w:p>
        </w:tc>
        <w:tc>
          <w:tcPr>
            <w:tcW w:w="3202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732 EUR</w:t>
            </w:r>
          </w:p>
        </w:tc>
      </w:tr>
      <w:tr w:rsidR="001A4986" w:rsidTr="00A42979">
        <w:tc>
          <w:tcPr>
            <w:tcW w:w="672" w:type="dxa"/>
            <w:vMerge w:val="restart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  <w:r>
              <w:t xml:space="preserve">9. </w:t>
            </w: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r w:rsidRPr="00DC04B8">
              <w:rPr>
                <w:rFonts w:ascii="Calibri" w:hAnsi="Calibri"/>
                <w:b/>
                <w:lang w:eastAsia="sl-SI"/>
              </w:rPr>
              <w:t xml:space="preserve">5 </w:t>
            </w:r>
            <w:r w:rsidRPr="00DC04B8">
              <w:rPr>
                <w:rFonts w:ascii="Calibri" w:hAnsi="Calibri"/>
                <w:lang w:eastAsia="sl-SI"/>
              </w:rPr>
              <w:t xml:space="preserve">x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letno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proofErr w:type="gramStart"/>
            <w:r w:rsidRPr="00DC04B8">
              <w:rPr>
                <w:rFonts w:ascii="Calibri" w:hAnsi="Calibri"/>
                <w:lang w:eastAsia="sl-SI"/>
              </w:rPr>
              <w:t>košnja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dela</w:t>
            </w:r>
            <w:proofErr w:type="spellEnd"/>
            <w:proofErr w:type="gram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zelenice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pri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otroškem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igrišču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pri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vrtcu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Ciciban/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Žabice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>/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Vojkova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73 del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parcele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št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408/78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k.o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.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Brinje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I. v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lasti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MOL -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cca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1000 m2 -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brežina</w:t>
            </w:r>
            <w:proofErr w:type="spellEnd"/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 w:rsidRPr="00317EC0">
              <w:t>1000</w:t>
            </w:r>
            <w:r>
              <w:t>m2*5*0,0230EUR/m2=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115 EUR</w:t>
            </w:r>
          </w:p>
        </w:tc>
      </w:tr>
      <w:tr w:rsidR="001A4986" w:rsidTr="00A42979">
        <w:tc>
          <w:tcPr>
            <w:tcW w:w="672" w:type="dxa"/>
            <w:vMerge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lang w:eastAsia="sl-SI"/>
              </w:rPr>
            </w:pPr>
            <w:proofErr w:type="spellStart"/>
            <w:r w:rsidRPr="00DC04B8">
              <w:rPr>
                <w:rFonts w:ascii="Calibri" w:hAnsi="Calibri"/>
                <w:lang w:eastAsia="sl-SI"/>
              </w:rPr>
              <w:t>čiščenje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pokošene</w:t>
            </w:r>
            <w:proofErr w:type="spellEnd"/>
            <w:r w:rsidRPr="00DC04B8">
              <w:rPr>
                <w:rFonts w:ascii="Calibri" w:hAnsi="Calibri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lang w:eastAsia="sl-SI"/>
              </w:rPr>
              <w:t>površine</w:t>
            </w:r>
            <w:proofErr w:type="spellEnd"/>
          </w:p>
        </w:tc>
        <w:tc>
          <w:tcPr>
            <w:tcW w:w="320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  <w:jc w:val="right"/>
            </w:pPr>
            <w:r>
              <w:t>1000m2*5*0,0372 EUR/m2=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186 EUR</w:t>
            </w:r>
          </w:p>
        </w:tc>
      </w:tr>
      <w:tr w:rsidR="001A4986" w:rsidTr="00A42979">
        <w:tc>
          <w:tcPr>
            <w:tcW w:w="672" w:type="dxa"/>
          </w:tcPr>
          <w:p w:rsidR="001A4986" w:rsidRDefault="001A4986" w:rsidP="0012189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57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rFonts w:ascii="Calibri" w:hAnsi="Calibri"/>
                <w:b/>
                <w:color w:val="000000"/>
                <w:lang w:eastAsia="sl-SI"/>
              </w:rPr>
            </w:pPr>
            <w:proofErr w:type="spellStart"/>
            <w:r w:rsidRPr="00DC04B8">
              <w:rPr>
                <w:rFonts w:ascii="Calibri" w:hAnsi="Calibri"/>
                <w:b/>
                <w:color w:val="000000"/>
                <w:lang w:eastAsia="sl-SI"/>
              </w:rPr>
              <w:t>Skupaj</w:t>
            </w:r>
            <w:proofErr w:type="spellEnd"/>
            <w:r w:rsidRPr="00DC04B8">
              <w:rPr>
                <w:rFonts w:ascii="Calibri" w:hAnsi="Calibri"/>
                <w:b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b/>
                <w:color w:val="000000"/>
                <w:lang w:eastAsia="sl-SI"/>
              </w:rPr>
              <w:t>Četrtna</w:t>
            </w:r>
            <w:proofErr w:type="spellEnd"/>
            <w:r w:rsidRPr="00DC04B8">
              <w:rPr>
                <w:rFonts w:ascii="Calibri" w:hAnsi="Calibri"/>
                <w:b/>
                <w:color w:val="000000"/>
                <w:lang w:eastAsia="sl-SI"/>
              </w:rPr>
              <w:t xml:space="preserve"> </w:t>
            </w:r>
            <w:proofErr w:type="spellStart"/>
            <w:r w:rsidRPr="00DC04B8">
              <w:rPr>
                <w:rFonts w:ascii="Calibri" w:hAnsi="Calibri"/>
                <w:b/>
                <w:color w:val="000000"/>
                <w:lang w:eastAsia="sl-SI"/>
              </w:rPr>
              <w:t>skupnost</w:t>
            </w:r>
            <w:proofErr w:type="spellEnd"/>
            <w:r w:rsidRPr="00DC04B8">
              <w:rPr>
                <w:rFonts w:ascii="Calibri" w:hAnsi="Calibri"/>
                <w:b/>
                <w:color w:val="000000"/>
                <w:lang w:eastAsia="sl-SI"/>
              </w:rPr>
              <w:t xml:space="preserve"> Bežigrad:</w:t>
            </w:r>
          </w:p>
        </w:tc>
        <w:tc>
          <w:tcPr>
            <w:tcW w:w="3202" w:type="dxa"/>
          </w:tcPr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</w:rPr>
            </w:pPr>
            <w:r w:rsidRPr="00DC04B8">
              <w:rPr>
                <w:b/>
              </w:rPr>
              <w:t>9.459 EUR</w:t>
            </w:r>
          </w:p>
          <w:p w:rsidR="001A4986" w:rsidRPr="00DC04B8" w:rsidRDefault="001A4986" w:rsidP="00121895">
            <w:pPr>
              <w:tabs>
                <w:tab w:val="center" w:pos="4320"/>
                <w:tab w:val="right" w:pos="8640"/>
              </w:tabs>
              <w:jc w:val="right"/>
              <w:rPr>
                <w:b/>
                <w:strike/>
              </w:rPr>
            </w:pPr>
          </w:p>
        </w:tc>
      </w:tr>
    </w:tbl>
    <w:p w:rsidR="001A4986" w:rsidRDefault="001A4986" w:rsidP="001A4986"/>
    <w:p w:rsidR="001A4986" w:rsidRDefault="001A4986" w:rsidP="001A4986">
      <w:pPr>
        <w:rPr>
          <w:b/>
          <w:lang w:val="sl-SI"/>
        </w:rPr>
      </w:pPr>
      <w:r>
        <w:rPr>
          <w:b/>
          <w:lang w:val="sl-SI"/>
        </w:rPr>
        <w:t>Svet ČS Bežigrad MOL pooblašča predsednika Sveta ČS Bežigrad MOL za morebitne manjše uskladitve oz. popravke zneskov malih del in finančnega načrta ČS Bežigrad za leto 2014.</w:t>
      </w:r>
    </w:p>
    <w:p w:rsidR="009E4FC0" w:rsidRDefault="009E4FC0" w:rsidP="001A4986">
      <w:pPr>
        <w:rPr>
          <w:b/>
          <w:lang w:val="sl-SI"/>
        </w:rPr>
      </w:pPr>
    </w:p>
    <w:p w:rsidR="009E4FC0" w:rsidRPr="00BF1A8A" w:rsidRDefault="009E4FC0" w:rsidP="009E4FC0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Opredeljenih je bilo 11</w:t>
      </w:r>
      <w:r w:rsidRPr="00BF1A8A">
        <w:rPr>
          <w:bCs/>
          <w:szCs w:val="22"/>
          <w:lang w:val="sl-SI"/>
        </w:rPr>
        <w:t xml:space="preserve"> članov sveta.</w:t>
      </w:r>
    </w:p>
    <w:p w:rsidR="009E4FC0" w:rsidRPr="00BF1A8A" w:rsidRDefault="009E4FC0" w:rsidP="009E4FC0">
      <w:pPr>
        <w:jc w:val="both"/>
        <w:rPr>
          <w:bCs/>
          <w:szCs w:val="22"/>
          <w:lang w:val="sl-SI"/>
        </w:rPr>
      </w:pPr>
      <w:r w:rsidRPr="00BF1A8A">
        <w:rPr>
          <w:bCs/>
          <w:szCs w:val="22"/>
          <w:lang w:val="sl-SI"/>
        </w:rPr>
        <w:t>ZA je glasovalo 1</w:t>
      </w:r>
      <w:r>
        <w:rPr>
          <w:bCs/>
          <w:szCs w:val="22"/>
          <w:lang w:val="sl-SI"/>
        </w:rPr>
        <w:t>1</w:t>
      </w:r>
      <w:r w:rsidRPr="00BF1A8A">
        <w:rPr>
          <w:bCs/>
          <w:szCs w:val="22"/>
          <w:lang w:val="sl-SI"/>
        </w:rPr>
        <w:t xml:space="preserve"> članov sveta. </w:t>
      </w:r>
    </w:p>
    <w:p w:rsidR="009E4FC0" w:rsidRPr="00BF1A8A" w:rsidRDefault="009E4FC0" w:rsidP="009E4FC0">
      <w:pPr>
        <w:jc w:val="both"/>
        <w:outlineLvl w:val="0"/>
        <w:rPr>
          <w:bCs/>
          <w:szCs w:val="22"/>
          <w:lang w:val="sl-SI"/>
        </w:rPr>
      </w:pPr>
      <w:r w:rsidRPr="00BF1A8A">
        <w:rPr>
          <w:b/>
          <w:bCs/>
          <w:szCs w:val="22"/>
          <w:lang w:val="sl-SI"/>
        </w:rPr>
        <w:t>Sklep je bil sprejet</w:t>
      </w:r>
      <w:r w:rsidRPr="00BF1A8A">
        <w:rPr>
          <w:bCs/>
          <w:szCs w:val="22"/>
          <w:lang w:val="sl-SI"/>
        </w:rPr>
        <w:t>.</w:t>
      </w:r>
    </w:p>
    <w:p w:rsidR="009E4FC0" w:rsidRDefault="009E4FC0" w:rsidP="001A4986">
      <w:pPr>
        <w:rPr>
          <w:b/>
          <w:lang w:val="sl-SI"/>
        </w:rPr>
      </w:pPr>
    </w:p>
    <w:p w:rsidR="00291833" w:rsidRPr="000D4D09" w:rsidRDefault="00291833" w:rsidP="00291833">
      <w:pPr>
        <w:pStyle w:val="Odstavekseznama"/>
        <w:ind w:left="502"/>
        <w:contextualSpacing w:val="0"/>
        <w:jc w:val="center"/>
        <w:rPr>
          <w:rFonts w:ascii="Times New Roman" w:hAnsi="Times New Roman"/>
          <w:b/>
        </w:rPr>
      </w:pPr>
    </w:p>
    <w:p w:rsidR="00EC2098" w:rsidRPr="00EF56F2" w:rsidRDefault="00EC2098" w:rsidP="00EC2098">
      <w:pPr>
        <w:rPr>
          <w:color w:val="FF0000"/>
          <w:szCs w:val="22"/>
          <w:lang w:val="sl-SI"/>
        </w:rPr>
      </w:pPr>
    </w:p>
    <w:p w:rsidR="00EC2098" w:rsidRPr="00BF1A8A" w:rsidRDefault="00EC2098" w:rsidP="00EC2098">
      <w:pPr>
        <w:rPr>
          <w:szCs w:val="22"/>
          <w:lang w:val="sl-SI"/>
        </w:rPr>
      </w:pPr>
      <w:r w:rsidRPr="00BF1A8A">
        <w:rPr>
          <w:szCs w:val="22"/>
          <w:lang w:val="sl-SI"/>
        </w:rPr>
        <w:t>Pripravila:</w:t>
      </w:r>
    </w:p>
    <w:p w:rsidR="00EC2098" w:rsidRPr="00BF1A8A" w:rsidRDefault="00EC2098" w:rsidP="00EC2098">
      <w:pPr>
        <w:rPr>
          <w:szCs w:val="22"/>
          <w:lang w:val="sl-SI"/>
        </w:rPr>
      </w:pPr>
      <w:r w:rsidRPr="00BF1A8A">
        <w:rPr>
          <w:szCs w:val="22"/>
          <w:lang w:val="sl-SI"/>
        </w:rPr>
        <w:t>Zorana Pust</w:t>
      </w:r>
    </w:p>
    <w:p w:rsidR="00EC2098" w:rsidRPr="00BF1A8A" w:rsidRDefault="00EC2098" w:rsidP="00EC2098">
      <w:pPr>
        <w:rPr>
          <w:szCs w:val="22"/>
          <w:lang w:val="sl-SI"/>
        </w:rPr>
      </w:pPr>
    </w:p>
    <w:p w:rsidR="00EC2098" w:rsidRPr="00BF1A8A" w:rsidRDefault="00EC2098" w:rsidP="00EC2098">
      <w:pPr>
        <w:rPr>
          <w:szCs w:val="22"/>
          <w:lang w:val="sl-SI"/>
        </w:rPr>
      </w:pPr>
    </w:p>
    <w:p w:rsidR="00315267" w:rsidRPr="00BF1A8A" w:rsidRDefault="00EC2098" w:rsidP="00315267">
      <w:pPr>
        <w:pStyle w:val="Telobesedila2"/>
        <w:keepLines/>
        <w:spacing w:after="0" w:line="240" w:lineRule="auto"/>
        <w:rPr>
          <w:rFonts w:ascii="Times New Roman" w:hAnsi="Times New Roman"/>
          <w:b/>
          <w:bCs/>
          <w:color w:val="auto"/>
        </w:rPr>
      </w:pPr>
      <w:r w:rsidRPr="00BF1A8A">
        <w:rPr>
          <w:color w:val="auto"/>
        </w:rPr>
        <w:tab/>
      </w:r>
      <w:r w:rsidRPr="00BF1A8A">
        <w:rPr>
          <w:color w:val="auto"/>
        </w:rPr>
        <w:tab/>
      </w:r>
      <w:r w:rsidRPr="00BF1A8A">
        <w:rPr>
          <w:color w:val="auto"/>
        </w:rPr>
        <w:tab/>
      </w:r>
      <w:r w:rsidRPr="00BF1A8A">
        <w:rPr>
          <w:color w:val="auto"/>
        </w:rPr>
        <w:tab/>
      </w:r>
      <w:r w:rsidRPr="00BF1A8A">
        <w:rPr>
          <w:color w:val="auto"/>
        </w:rPr>
        <w:tab/>
      </w:r>
      <w:r w:rsidRPr="00BF1A8A">
        <w:rPr>
          <w:color w:val="auto"/>
        </w:rPr>
        <w:tab/>
      </w:r>
      <w:r w:rsidRPr="00BF1A8A">
        <w:rPr>
          <w:color w:val="auto"/>
        </w:rPr>
        <w:tab/>
      </w:r>
      <w:r w:rsidRPr="00BF1A8A">
        <w:rPr>
          <w:color w:val="auto"/>
        </w:rPr>
        <w:tab/>
        <w:t xml:space="preserve"> </w:t>
      </w:r>
      <w:bookmarkStart w:id="0" w:name="_GoBack"/>
      <w:bookmarkEnd w:id="0"/>
      <w:r w:rsidR="00D2213F" w:rsidRPr="00BF1A8A">
        <w:rPr>
          <w:rFonts w:ascii="Times New Roman" w:hAnsi="Times New Roman"/>
          <w:b/>
          <w:color w:val="auto"/>
        </w:rPr>
        <w:t>Jernej Zupanc</w:t>
      </w:r>
    </w:p>
    <w:p w:rsidR="00315267" w:rsidRPr="00BF1A8A" w:rsidRDefault="00315267" w:rsidP="00315267">
      <w:pPr>
        <w:keepLines/>
        <w:rPr>
          <w:b/>
          <w:lang w:val="sl-SI"/>
        </w:rPr>
      </w:pPr>
      <w:r w:rsidRPr="00BF1A8A">
        <w:rPr>
          <w:lang w:val="sl-SI"/>
        </w:rPr>
        <w:tab/>
      </w:r>
      <w:r w:rsidRPr="00BF1A8A">
        <w:rPr>
          <w:lang w:val="sl-SI"/>
        </w:rPr>
        <w:tab/>
      </w:r>
      <w:r w:rsidRPr="00BF1A8A">
        <w:rPr>
          <w:lang w:val="sl-SI"/>
        </w:rPr>
        <w:tab/>
      </w:r>
      <w:r w:rsidRPr="00BF1A8A">
        <w:rPr>
          <w:lang w:val="sl-SI"/>
        </w:rPr>
        <w:tab/>
      </w:r>
      <w:r w:rsidRPr="00BF1A8A">
        <w:rPr>
          <w:lang w:val="sl-SI"/>
        </w:rPr>
        <w:tab/>
      </w:r>
      <w:r w:rsidRPr="00BF1A8A">
        <w:rPr>
          <w:lang w:val="sl-SI"/>
        </w:rPr>
        <w:tab/>
      </w:r>
      <w:r w:rsidRPr="00BF1A8A">
        <w:rPr>
          <w:lang w:val="sl-SI"/>
        </w:rPr>
        <w:tab/>
        <w:t xml:space="preserve">         </w:t>
      </w:r>
      <w:r w:rsidR="00D2213F" w:rsidRPr="00BF1A8A">
        <w:rPr>
          <w:lang w:val="sl-SI"/>
        </w:rPr>
        <w:t xml:space="preserve">  </w:t>
      </w:r>
      <w:r w:rsidRPr="00BF1A8A">
        <w:rPr>
          <w:lang w:val="sl-SI"/>
        </w:rPr>
        <w:t xml:space="preserve"> </w:t>
      </w:r>
      <w:r w:rsidR="001C6408" w:rsidRPr="00BF1A8A">
        <w:rPr>
          <w:lang w:val="sl-SI"/>
        </w:rPr>
        <w:t xml:space="preserve"> </w:t>
      </w:r>
      <w:r w:rsidR="00D2213F" w:rsidRPr="00BF1A8A">
        <w:rPr>
          <w:b/>
          <w:lang w:val="sl-SI"/>
        </w:rPr>
        <w:t>P</w:t>
      </w:r>
      <w:r w:rsidRPr="00BF1A8A">
        <w:rPr>
          <w:b/>
          <w:lang w:val="sl-SI"/>
        </w:rPr>
        <w:t>redsednik Sveta</w:t>
      </w:r>
    </w:p>
    <w:p w:rsidR="00315267" w:rsidRPr="00BF1A8A" w:rsidRDefault="00315267" w:rsidP="00315267">
      <w:pPr>
        <w:keepLines/>
        <w:rPr>
          <w:rFonts w:cs="Arial"/>
          <w:b/>
          <w:lang w:val="sl-SI"/>
        </w:rPr>
      </w:pPr>
      <w:r w:rsidRPr="00BF1A8A">
        <w:rPr>
          <w:b/>
          <w:lang w:val="sl-SI"/>
        </w:rPr>
        <w:tab/>
      </w:r>
      <w:r w:rsidRPr="00BF1A8A">
        <w:rPr>
          <w:b/>
          <w:lang w:val="sl-SI"/>
        </w:rPr>
        <w:tab/>
      </w:r>
      <w:r w:rsidRPr="00BF1A8A">
        <w:rPr>
          <w:b/>
          <w:lang w:val="sl-SI"/>
        </w:rPr>
        <w:tab/>
      </w:r>
      <w:r w:rsidRPr="00BF1A8A">
        <w:rPr>
          <w:b/>
          <w:lang w:val="sl-SI"/>
        </w:rPr>
        <w:tab/>
      </w:r>
      <w:r w:rsidRPr="00BF1A8A">
        <w:rPr>
          <w:b/>
          <w:lang w:val="sl-SI"/>
        </w:rPr>
        <w:tab/>
      </w:r>
      <w:r w:rsidRPr="00BF1A8A">
        <w:rPr>
          <w:b/>
          <w:lang w:val="sl-SI"/>
        </w:rPr>
        <w:tab/>
      </w:r>
      <w:r w:rsidRPr="00BF1A8A">
        <w:rPr>
          <w:b/>
          <w:lang w:val="sl-SI"/>
        </w:rPr>
        <w:tab/>
        <w:t>Četrtne skupnosti Bežigrad MOL</w:t>
      </w:r>
    </w:p>
    <w:p w:rsidR="00683FDD" w:rsidRPr="00EF56F2" w:rsidRDefault="00683FDD" w:rsidP="00315267">
      <w:pPr>
        <w:rPr>
          <w:b/>
          <w:color w:val="FF0000"/>
          <w:szCs w:val="22"/>
          <w:lang w:val="sl-SI"/>
        </w:rPr>
      </w:pPr>
    </w:p>
    <w:p w:rsidR="00683FDD" w:rsidRPr="00EF56F2" w:rsidRDefault="00683FDD" w:rsidP="00315267">
      <w:pPr>
        <w:rPr>
          <w:b/>
          <w:color w:val="FF0000"/>
          <w:szCs w:val="22"/>
          <w:lang w:val="sl-SI"/>
        </w:rPr>
      </w:pPr>
    </w:p>
    <w:p w:rsidR="00EC2098" w:rsidRPr="00EF56F2" w:rsidRDefault="00EC2098" w:rsidP="00EC2098">
      <w:pPr>
        <w:rPr>
          <w:rFonts w:cs="Arial"/>
          <w:b/>
          <w:color w:val="FF0000"/>
          <w:lang w:val="sl-SI"/>
        </w:rPr>
      </w:pPr>
      <w:r w:rsidRPr="00EF56F2">
        <w:rPr>
          <w:rFonts w:cs="Arial"/>
          <w:b/>
          <w:color w:val="FF0000"/>
          <w:lang w:val="sl-SI"/>
        </w:rPr>
        <w:tab/>
      </w:r>
      <w:r w:rsidRPr="00EF56F2">
        <w:rPr>
          <w:rFonts w:cs="Arial"/>
          <w:b/>
          <w:color w:val="FF0000"/>
          <w:lang w:val="sl-SI"/>
        </w:rPr>
        <w:tab/>
      </w:r>
      <w:r w:rsidRPr="00EF56F2">
        <w:rPr>
          <w:rFonts w:cs="Arial"/>
          <w:b/>
          <w:color w:val="FF0000"/>
          <w:lang w:val="sl-SI"/>
        </w:rPr>
        <w:tab/>
      </w:r>
      <w:r w:rsidRPr="00EF56F2">
        <w:rPr>
          <w:rFonts w:cs="Arial"/>
          <w:b/>
          <w:color w:val="FF0000"/>
          <w:lang w:val="sl-SI"/>
        </w:rPr>
        <w:tab/>
      </w:r>
      <w:r w:rsidRPr="00EF56F2">
        <w:rPr>
          <w:rFonts w:cs="Arial"/>
          <w:b/>
          <w:color w:val="FF0000"/>
          <w:lang w:val="sl-SI"/>
        </w:rPr>
        <w:tab/>
      </w:r>
      <w:r w:rsidRPr="00EF56F2">
        <w:rPr>
          <w:rFonts w:cs="Arial"/>
          <w:b/>
          <w:color w:val="FF0000"/>
          <w:lang w:val="sl-SI"/>
        </w:rPr>
        <w:tab/>
      </w:r>
      <w:r w:rsidRPr="00EF56F2">
        <w:rPr>
          <w:rFonts w:cs="Arial"/>
          <w:b/>
          <w:color w:val="FF0000"/>
          <w:lang w:val="sl-SI"/>
        </w:rPr>
        <w:tab/>
      </w:r>
      <w:r w:rsidRPr="00EF56F2">
        <w:rPr>
          <w:rFonts w:cs="Arial"/>
          <w:b/>
          <w:color w:val="FF0000"/>
          <w:lang w:val="sl-SI"/>
        </w:rPr>
        <w:tab/>
        <w:t xml:space="preserve"> </w:t>
      </w:r>
    </w:p>
    <w:p w:rsidR="00EC2098" w:rsidRPr="00EF56F2" w:rsidRDefault="00EC2098" w:rsidP="00EC2098">
      <w:pPr>
        <w:rPr>
          <w:rFonts w:cs="Arial"/>
          <w:color w:val="FF0000"/>
          <w:lang w:val="sl-SI"/>
        </w:rPr>
      </w:pPr>
    </w:p>
    <w:p w:rsidR="0003771A" w:rsidRPr="00EF56F2" w:rsidRDefault="0003771A" w:rsidP="0003771A">
      <w:pPr>
        <w:rPr>
          <w:color w:val="FF0000"/>
          <w:lang w:val="sl-SI"/>
        </w:rPr>
      </w:pPr>
    </w:p>
    <w:sectPr w:rsidR="0003771A" w:rsidRPr="00EF56F2" w:rsidSect="0003771A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95" w:rsidRDefault="00121895">
      <w:r>
        <w:separator/>
      </w:r>
    </w:p>
  </w:endnote>
  <w:endnote w:type="continuationSeparator" w:id="0">
    <w:p w:rsidR="00121895" w:rsidRDefault="0012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95" w:rsidRDefault="00121895" w:rsidP="0003771A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95" w:rsidRDefault="00121895">
      <w:r>
        <w:separator/>
      </w:r>
    </w:p>
  </w:footnote>
  <w:footnote w:type="continuationSeparator" w:id="0">
    <w:p w:rsidR="00121895" w:rsidRDefault="00121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95" w:rsidRDefault="00121895" w:rsidP="0003771A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95" w:rsidRPr="00246999" w:rsidRDefault="00121895" w:rsidP="0003771A">
    <w:pPr>
      <w:ind w:left="-1219"/>
    </w:pPr>
    <w:r>
      <w:rPr>
        <w:noProof/>
        <w:lang w:val="sl-SI" w:eastAsia="sl-SI"/>
      </w:rPr>
      <w:drawing>
        <wp:inline distT="0" distB="0" distL="0" distR="0">
          <wp:extent cx="6607175" cy="830580"/>
          <wp:effectExtent l="19050" t="0" r="3175" b="0"/>
          <wp:docPr id="1" name="Slika 1" descr="cetrtne_bezi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bezig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17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75F10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CE"/>
    <w:multiLevelType w:val="hybridMultilevel"/>
    <w:tmpl w:val="DEA26ED6"/>
    <w:lvl w:ilvl="0" w:tplc="5BD0C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821A21"/>
    <w:multiLevelType w:val="hybridMultilevel"/>
    <w:tmpl w:val="BE623970"/>
    <w:lvl w:ilvl="0" w:tplc="CD4683B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6D74DD"/>
    <w:multiLevelType w:val="hybridMultilevel"/>
    <w:tmpl w:val="18DE5B04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F4736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43292"/>
    <w:multiLevelType w:val="hybridMultilevel"/>
    <w:tmpl w:val="7702E526"/>
    <w:lvl w:ilvl="0" w:tplc="CC322D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05595"/>
    <w:multiLevelType w:val="hybridMultilevel"/>
    <w:tmpl w:val="FD483A3C"/>
    <w:lvl w:ilvl="0" w:tplc="CC322D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966DF"/>
    <w:multiLevelType w:val="hybridMultilevel"/>
    <w:tmpl w:val="BC80267C"/>
    <w:lvl w:ilvl="0" w:tplc="1A406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F5134"/>
    <w:multiLevelType w:val="hybridMultilevel"/>
    <w:tmpl w:val="57D4FCFE"/>
    <w:lvl w:ilvl="0" w:tplc="17660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14240"/>
    <w:multiLevelType w:val="hybridMultilevel"/>
    <w:tmpl w:val="626415BA"/>
    <w:lvl w:ilvl="0" w:tplc="246E0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BB53EF"/>
    <w:multiLevelType w:val="hybridMultilevel"/>
    <w:tmpl w:val="DEA26ED6"/>
    <w:lvl w:ilvl="0" w:tplc="5BD0C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1E6D72"/>
    <w:multiLevelType w:val="hybridMultilevel"/>
    <w:tmpl w:val="0F72FC56"/>
    <w:lvl w:ilvl="0" w:tplc="17660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20B0"/>
    <w:multiLevelType w:val="hybridMultilevel"/>
    <w:tmpl w:val="DEA26ED6"/>
    <w:lvl w:ilvl="0" w:tplc="5BD0C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EB56CF"/>
    <w:multiLevelType w:val="hybridMultilevel"/>
    <w:tmpl w:val="BE623970"/>
    <w:lvl w:ilvl="0" w:tplc="CD4683B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707"/>
    <w:multiLevelType w:val="hybridMultilevel"/>
    <w:tmpl w:val="D5B4F6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D283C"/>
    <w:multiLevelType w:val="hybridMultilevel"/>
    <w:tmpl w:val="DEA26ED6"/>
    <w:lvl w:ilvl="0" w:tplc="5BD0C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4F08AF"/>
    <w:multiLevelType w:val="hybridMultilevel"/>
    <w:tmpl w:val="4B92787A"/>
    <w:lvl w:ilvl="0" w:tplc="E36891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C3D9F"/>
    <w:multiLevelType w:val="hybridMultilevel"/>
    <w:tmpl w:val="FA368016"/>
    <w:lvl w:ilvl="0" w:tplc="CC322D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C6334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6781A"/>
    <w:multiLevelType w:val="hybridMultilevel"/>
    <w:tmpl w:val="D5B4F6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C4509"/>
    <w:multiLevelType w:val="hybridMultilevel"/>
    <w:tmpl w:val="DEA26ED6"/>
    <w:lvl w:ilvl="0" w:tplc="5BD0C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D87946"/>
    <w:multiLevelType w:val="hybridMultilevel"/>
    <w:tmpl w:val="7EC6F4A8"/>
    <w:lvl w:ilvl="0" w:tplc="17660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266B0"/>
    <w:multiLevelType w:val="hybridMultilevel"/>
    <w:tmpl w:val="BE623970"/>
    <w:lvl w:ilvl="0" w:tplc="CD4683B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D993B6F"/>
    <w:multiLevelType w:val="hybridMultilevel"/>
    <w:tmpl w:val="4D7E36C4"/>
    <w:lvl w:ilvl="0" w:tplc="D0083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1"/>
  </w:num>
  <w:num w:numId="5">
    <w:abstractNumId w:val="12"/>
  </w:num>
  <w:num w:numId="6">
    <w:abstractNumId w:val="20"/>
  </w:num>
  <w:num w:numId="7">
    <w:abstractNumId w:val="10"/>
  </w:num>
  <w:num w:numId="8">
    <w:abstractNumId w:val="21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  <w:num w:numId="16">
    <w:abstractNumId w:val="19"/>
  </w:num>
  <w:num w:numId="17">
    <w:abstractNumId w:val="0"/>
  </w:num>
  <w:num w:numId="18">
    <w:abstractNumId w:val="18"/>
  </w:num>
  <w:num w:numId="19">
    <w:abstractNumId w:val="13"/>
  </w:num>
  <w:num w:numId="20">
    <w:abstractNumId w:val="8"/>
  </w:num>
  <w:num w:numId="21">
    <w:abstractNumId w:val="6"/>
  </w:num>
  <w:num w:numId="22">
    <w:abstractNumId w:val="17"/>
  </w:num>
  <w:num w:numId="23">
    <w:abstractNumId w:val="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en-US" w:vendorID="6" w:dllVersion="2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4C33"/>
    <w:rsid w:val="00015CA2"/>
    <w:rsid w:val="0003771A"/>
    <w:rsid w:val="00073C6D"/>
    <w:rsid w:val="000834B0"/>
    <w:rsid w:val="00095CD3"/>
    <w:rsid w:val="000D4D09"/>
    <w:rsid w:val="00121895"/>
    <w:rsid w:val="00144713"/>
    <w:rsid w:val="00177326"/>
    <w:rsid w:val="001A4986"/>
    <w:rsid w:val="001C6408"/>
    <w:rsid w:val="002557A2"/>
    <w:rsid w:val="00261D42"/>
    <w:rsid w:val="00291833"/>
    <w:rsid w:val="00315267"/>
    <w:rsid w:val="003600A9"/>
    <w:rsid w:val="0036363D"/>
    <w:rsid w:val="00383464"/>
    <w:rsid w:val="00393012"/>
    <w:rsid w:val="003F53F7"/>
    <w:rsid w:val="003F6586"/>
    <w:rsid w:val="00401DA8"/>
    <w:rsid w:val="004726C6"/>
    <w:rsid w:val="00565D95"/>
    <w:rsid w:val="00566DEC"/>
    <w:rsid w:val="00594F19"/>
    <w:rsid w:val="005F6A5F"/>
    <w:rsid w:val="006019B2"/>
    <w:rsid w:val="00610F30"/>
    <w:rsid w:val="006303A0"/>
    <w:rsid w:val="00636559"/>
    <w:rsid w:val="00673A7E"/>
    <w:rsid w:val="00683FDD"/>
    <w:rsid w:val="006C69A5"/>
    <w:rsid w:val="006F0844"/>
    <w:rsid w:val="006F21CA"/>
    <w:rsid w:val="007127C4"/>
    <w:rsid w:val="00734588"/>
    <w:rsid w:val="007E7B4C"/>
    <w:rsid w:val="007F4D6B"/>
    <w:rsid w:val="008211A9"/>
    <w:rsid w:val="00840CE6"/>
    <w:rsid w:val="00840E5B"/>
    <w:rsid w:val="00891EAC"/>
    <w:rsid w:val="008A59D4"/>
    <w:rsid w:val="008A661F"/>
    <w:rsid w:val="008C0204"/>
    <w:rsid w:val="008D532E"/>
    <w:rsid w:val="00931D0D"/>
    <w:rsid w:val="0093216B"/>
    <w:rsid w:val="009872FB"/>
    <w:rsid w:val="009B763B"/>
    <w:rsid w:val="009C6518"/>
    <w:rsid w:val="009D2A2E"/>
    <w:rsid w:val="009E4FC0"/>
    <w:rsid w:val="00A1058B"/>
    <w:rsid w:val="00A42979"/>
    <w:rsid w:val="00A544DC"/>
    <w:rsid w:val="00A9281E"/>
    <w:rsid w:val="00AF0104"/>
    <w:rsid w:val="00B1573E"/>
    <w:rsid w:val="00B41B6D"/>
    <w:rsid w:val="00B42B61"/>
    <w:rsid w:val="00B552A7"/>
    <w:rsid w:val="00B8065C"/>
    <w:rsid w:val="00BA6967"/>
    <w:rsid w:val="00BE3B2B"/>
    <w:rsid w:val="00BF1A8A"/>
    <w:rsid w:val="00C34BEE"/>
    <w:rsid w:val="00C57402"/>
    <w:rsid w:val="00C87E66"/>
    <w:rsid w:val="00C92106"/>
    <w:rsid w:val="00C96923"/>
    <w:rsid w:val="00CD4C47"/>
    <w:rsid w:val="00CE3D42"/>
    <w:rsid w:val="00D166A5"/>
    <w:rsid w:val="00D2213F"/>
    <w:rsid w:val="00D9136B"/>
    <w:rsid w:val="00DA1CD0"/>
    <w:rsid w:val="00DD550A"/>
    <w:rsid w:val="00DD68B1"/>
    <w:rsid w:val="00DE2EEF"/>
    <w:rsid w:val="00E33545"/>
    <w:rsid w:val="00E75F10"/>
    <w:rsid w:val="00EB0BC2"/>
    <w:rsid w:val="00EC115B"/>
    <w:rsid w:val="00EC1242"/>
    <w:rsid w:val="00EC2098"/>
    <w:rsid w:val="00EC6EE6"/>
    <w:rsid w:val="00ED6605"/>
    <w:rsid w:val="00EF56F2"/>
    <w:rsid w:val="00F44229"/>
    <w:rsid w:val="00F55FC1"/>
    <w:rsid w:val="00FA5F70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20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2098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EC2098"/>
    <w:pPr>
      <w:spacing w:after="120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EC2098"/>
    <w:rPr>
      <w:rFonts w:ascii="Arial" w:hAnsi="Arial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EC2098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EC2098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C2098"/>
    <w:pPr>
      <w:ind w:left="720"/>
      <w:contextualSpacing/>
    </w:pPr>
    <w:rPr>
      <w:rFonts w:ascii="Arial" w:hAnsi="Arial"/>
      <w:color w:val="000000"/>
      <w:szCs w:val="22"/>
      <w:lang w:val="sl-SI" w:eastAsia="sl-SI"/>
    </w:rPr>
  </w:style>
  <w:style w:type="table" w:styleId="Tabela-mrea">
    <w:name w:val="Table Grid"/>
    <w:basedOn w:val="Navadnatabela"/>
    <w:uiPriority w:val="59"/>
    <w:rsid w:val="00EC20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B9E1-92F2-4F8D-A0E2-84A5144C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Ime Priimek</vt:lpstr>
      <vt:lpstr>Z A P I S N I K</vt:lpstr>
      <vt:lpstr>Določen je bil naslednji  d n e v n i  r e d:</vt:lpstr>
      <vt:lpstr>Sklep je bil sprejet.</vt:lpstr>
      <vt:lpstr>Sklep je bil sprejet.</vt:lpstr>
      <vt:lpstr>Sklep je bil sprejet.</vt:lpstr>
      <vt:lpstr>Ime Priimek</vt:lpstr>
    </vt:vector>
  </TitlesOfParts>
  <Company>MESTNA OBČINA LJUBLJANA</Company>
  <LinksUpToDate>false</LinksUpToDate>
  <CharactersWithSpaces>8792</CharactersWithSpaces>
  <SharedDoc>false</SharedDoc>
  <HLinks>
    <vt:vector size="6" baseType="variant">
      <vt:variant>
        <vt:i4>1572924</vt:i4>
      </vt:variant>
      <vt:variant>
        <vt:i4>1553</vt:i4>
      </vt:variant>
      <vt:variant>
        <vt:i4>1027</vt:i4>
      </vt:variant>
      <vt:variant>
        <vt:i4>1</vt:i4>
      </vt:variant>
      <vt:variant>
        <vt:lpwstr>cetrtne_bezigrad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pustz</dc:creator>
  <cp:keywords/>
  <cp:lastModifiedBy>pustz</cp:lastModifiedBy>
  <cp:revision>6</cp:revision>
  <cp:lastPrinted>2011-10-20T11:07:00Z</cp:lastPrinted>
  <dcterms:created xsi:type="dcterms:W3CDTF">2013-12-12T11:14:00Z</dcterms:created>
  <dcterms:modified xsi:type="dcterms:W3CDTF">2014-01-09T06:50:00Z</dcterms:modified>
</cp:coreProperties>
</file>