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>za prodajo nepremičnin</w:t>
      </w:r>
      <w:r w:rsidR="006572F1">
        <w:rPr>
          <w:rFonts w:ascii="Tahoma" w:hAnsi="Tahoma" w:cs="Tahoma"/>
          <w:sz w:val="20"/>
          <w:szCs w:val="20"/>
        </w:rPr>
        <w:t>e</w:t>
      </w:r>
      <w:r w:rsidR="00522DF6">
        <w:rPr>
          <w:rFonts w:ascii="Tahoma" w:hAnsi="Tahoma" w:cs="Tahoma"/>
          <w:sz w:val="20"/>
          <w:szCs w:val="20"/>
        </w:rPr>
        <w:t xml:space="preserve">: </w:t>
      </w:r>
      <w:r w:rsidR="009D7252" w:rsidRPr="009D7252">
        <w:rPr>
          <w:rFonts w:ascii="Tahoma" w:hAnsi="Tahoma" w:cs="Tahoma"/>
          <w:sz w:val="20"/>
          <w:szCs w:val="20"/>
        </w:rPr>
        <w:t xml:space="preserve">posameznega dela stavbe z ID št. 2681-134-3, ki v naravi predstavlja stanovanje št. 3 v izmeri 41,9 m2 v pritličju s pripadajočo shrambo in drvarnico v skupni izmeri 6,2 m2, v kleti, vse v stavbi na naslovu Ulica Marje Boršnikove 8 v Ljubljani, ki je povezana z zemljiščem s parcelno številko 871 </w:t>
      </w:r>
      <w:proofErr w:type="spellStart"/>
      <w:r w:rsidR="009D7252" w:rsidRPr="009D7252">
        <w:rPr>
          <w:rFonts w:ascii="Tahoma" w:hAnsi="Tahoma" w:cs="Tahoma"/>
          <w:sz w:val="20"/>
          <w:szCs w:val="20"/>
        </w:rPr>
        <w:t>k.o</w:t>
      </w:r>
      <w:proofErr w:type="spellEnd"/>
      <w:r w:rsidR="009D7252" w:rsidRPr="009D7252">
        <w:rPr>
          <w:rFonts w:ascii="Tahoma" w:hAnsi="Tahoma" w:cs="Tahoma"/>
          <w:sz w:val="20"/>
          <w:szCs w:val="20"/>
        </w:rPr>
        <w:t>. 2681 – Brinje II.</w:t>
      </w:r>
      <w:r w:rsidR="009D7252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EC"/>
    <w:rsid w:val="001021C9"/>
    <w:rsid w:val="001C365D"/>
    <w:rsid w:val="00522DF6"/>
    <w:rsid w:val="006572F1"/>
    <w:rsid w:val="006C66C5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238D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2019-10-09T07:35:00Z</dcterms:created>
  <dcterms:modified xsi:type="dcterms:W3CDTF">2019-10-09T07:35:00Z</dcterms:modified>
</cp:coreProperties>
</file>