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F752DC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69413724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B46161">
        <w:rPr>
          <w:rFonts w:ascii="Calibri" w:hAnsi="Calibri"/>
          <w:b/>
          <w:bCs/>
          <w:sz w:val="22"/>
          <w:szCs w:val="22"/>
        </w:rPr>
        <w:t>14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46161">
        <w:rPr>
          <w:rFonts w:ascii="Calibri" w:hAnsi="Calibri"/>
          <w:b/>
          <w:bCs/>
          <w:sz w:val="22"/>
          <w:szCs w:val="22"/>
        </w:rPr>
        <w:t>02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B46161">
        <w:rPr>
          <w:rFonts w:ascii="Calibri" w:hAnsi="Calibri"/>
          <w:b/>
          <w:bCs/>
          <w:sz w:val="22"/>
          <w:szCs w:val="22"/>
        </w:rPr>
        <w:t>06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46161">
        <w:rPr>
          <w:rFonts w:ascii="Calibri" w:hAnsi="Calibri"/>
          <w:b/>
          <w:bCs/>
          <w:sz w:val="22"/>
          <w:szCs w:val="22"/>
        </w:rPr>
        <w:t>03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program Ljubljana – moje mesto, pri čemer bo kupec zavezan prevzeti  stroške pri obnovi pročelja in strehe stavbe. Nepremičnina je vključena v Načrt razpolaganja z nepremičnim premoženjem Mestne občine Ljubljana za leto 202</w:t>
      </w:r>
      <w:r w:rsidR="002C1BF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333530" w:rsidRPr="00333530" w:rsidRDefault="00B52DB6" w:rsidP="00333530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0" w:name="_Hlk91582121"/>
      <w:r w:rsidR="00333530" w:rsidRPr="00333530">
        <w:rPr>
          <w:rFonts w:ascii="Calibri" w:hAnsi="Calibri" w:cs="Calibri"/>
          <w:sz w:val="22"/>
          <w:szCs w:val="22"/>
        </w:rPr>
        <w:t xml:space="preserve">na naslovu </w:t>
      </w:r>
      <w:r w:rsidR="00333530" w:rsidRPr="00BC3201">
        <w:rPr>
          <w:rFonts w:ascii="Calibri" w:hAnsi="Calibri" w:cs="Calibri"/>
          <w:b/>
          <w:sz w:val="22"/>
          <w:szCs w:val="22"/>
        </w:rPr>
        <w:t>Resljeva cesta 14 v Ljubljani</w:t>
      </w:r>
      <w:r w:rsidR="00333530" w:rsidRPr="00333530">
        <w:rPr>
          <w:rFonts w:ascii="Calibri" w:hAnsi="Calibri" w:cs="Calibri"/>
          <w:sz w:val="22"/>
          <w:szCs w:val="22"/>
        </w:rPr>
        <w:t xml:space="preserve">, ki se nahajajo v 2., 3., 5., 6., 7. in 8. etaži </w:t>
      </w:r>
      <w:r w:rsidR="00333530" w:rsidRPr="00BC3201">
        <w:rPr>
          <w:rFonts w:ascii="Calibri" w:hAnsi="Calibri" w:cs="Calibri"/>
          <w:b/>
          <w:sz w:val="22"/>
          <w:szCs w:val="22"/>
        </w:rPr>
        <w:t>v skupni izmeri</w:t>
      </w:r>
      <w:r w:rsidR="00333530" w:rsidRPr="00333530">
        <w:rPr>
          <w:rFonts w:ascii="Calibri" w:hAnsi="Calibri" w:cs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333530" w:rsidRPr="00333530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Pr="00F13FF6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333530" w:rsidRDefault="00333530" w:rsidP="0033353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FF17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Predmet javne dražbe je stanovanjska enota – garsonjera z ID oznako 2200-1145-8 </w:t>
      </w:r>
      <w:r w:rsidRPr="00FF17E1">
        <w:rPr>
          <w:rFonts w:ascii="Calibri" w:hAnsi="Calibri"/>
          <w:b/>
          <w:sz w:val="22"/>
          <w:szCs w:val="22"/>
        </w:rPr>
        <w:t>v skupni izmeri 29,9 m2</w:t>
      </w:r>
      <w:r>
        <w:rPr>
          <w:rFonts w:ascii="Calibri" w:hAnsi="Calibri"/>
          <w:sz w:val="22"/>
          <w:szCs w:val="22"/>
        </w:rPr>
        <w:t xml:space="preserve"> s pripadajočim deležem na skupnih prostorih ter na zemljišču na naslovu </w:t>
      </w:r>
      <w:r w:rsidRPr="00FF17E1">
        <w:rPr>
          <w:rFonts w:ascii="Calibri" w:hAnsi="Calibri"/>
          <w:b/>
          <w:sz w:val="22"/>
          <w:szCs w:val="22"/>
        </w:rPr>
        <w:t>Ravne v Bohinju 23 v Bohinjski Bistrici</w:t>
      </w:r>
      <w:r>
        <w:rPr>
          <w:rFonts w:ascii="Calibri" w:hAnsi="Calibri"/>
          <w:sz w:val="22"/>
          <w:szCs w:val="22"/>
        </w:rPr>
        <w:t xml:space="preserve">. Stanovanjska enota se nahaja v 1. nadstropju stavbe in je prazna. Zemljiškoknjižno stanje je urejeno v korist prodajalca. Nepremičnina je vključena v Načrt razpolaganja z nepremičnim premoženjem Mestne občine Ljubljana za leto 2024. </w:t>
      </w:r>
    </w:p>
    <w:p w:rsidR="00FF17E1" w:rsidRDefault="00FF17E1" w:rsidP="00FF17E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89.700,00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devetinosemdeset tisoč sedemsto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8.970,00 EUR </w:t>
      </w:r>
      <w:r>
        <w:rPr>
          <w:rFonts w:ascii="Calibri" w:hAnsi="Calibri" w:cs="Calibri"/>
          <w:color w:val="000000"/>
          <w:sz w:val="22"/>
          <w:szCs w:val="22"/>
        </w:rPr>
        <w:t>(z besedo: osem tisoč devetsto sedemdeset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FF17E1" w:rsidRDefault="00FF17E1" w:rsidP="00FF17E1">
      <w:pPr>
        <w:jc w:val="both"/>
        <w:rPr>
          <w:rFonts w:ascii="Calibri" w:hAnsi="Calibri"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14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03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361C08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B52DB6">
        <w:rPr>
          <w:rFonts w:ascii="Calibri" w:hAnsi="Calibri"/>
          <w:sz w:val="22"/>
          <w:szCs w:val="22"/>
        </w:rPr>
        <w:t xml:space="preserve"> (ID1725-323-12)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</w:t>
      </w:r>
      <w:r w:rsidR="00361C08">
        <w:rPr>
          <w:rFonts w:ascii="Calibri" w:hAnsi="Calibri"/>
          <w:b/>
          <w:sz w:val="22"/>
          <w:szCs w:val="22"/>
        </w:rPr>
        <w:t>2</w:t>
      </w:r>
      <w:r w:rsidR="00D77D29">
        <w:rPr>
          <w:rFonts w:ascii="Calibri" w:hAnsi="Calibri"/>
          <w:b/>
          <w:sz w:val="22"/>
          <w:szCs w:val="22"/>
        </w:rPr>
        <w:t>:</w:t>
      </w:r>
      <w:r w:rsidR="00361C08">
        <w:rPr>
          <w:rFonts w:ascii="Calibri" w:hAnsi="Calibri"/>
          <w:b/>
          <w:sz w:val="22"/>
          <w:szCs w:val="22"/>
        </w:rPr>
        <w:t>30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F61038" w:rsidRPr="00B46161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Resljeva cesta 14, Ljubljana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 w:rsidR="008A464C">
        <w:rPr>
          <w:rFonts w:ascii="Calibri" w:hAnsi="Calibri"/>
          <w:b/>
          <w:sz w:val="22"/>
          <w:szCs w:val="22"/>
        </w:rPr>
        <w:t>1</w:t>
      </w:r>
      <w:r w:rsidR="00361C08">
        <w:rPr>
          <w:rFonts w:ascii="Calibri" w:hAnsi="Calibri"/>
          <w:b/>
          <w:sz w:val="22"/>
          <w:szCs w:val="22"/>
        </w:rPr>
        <w:t>2</w:t>
      </w:r>
      <w:r w:rsidRPr="00F61038">
        <w:rPr>
          <w:rFonts w:ascii="Calibri" w:hAnsi="Calibri"/>
          <w:b/>
          <w:sz w:val="22"/>
          <w:szCs w:val="22"/>
        </w:rPr>
        <w:t>:</w:t>
      </w:r>
      <w:r w:rsidR="00361C08">
        <w:rPr>
          <w:rFonts w:ascii="Calibri" w:hAnsi="Calibri"/>
          <w:b/>
          <w:sz w:val="22"/>
          <w:szCs w:val="22"/>
        </w:rPr>
        <w:t>50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B46161" w:rsidRPr="00973D93" w:rsidRDefault="00B46161" w:rsidP="00B46161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Ravne v Bohinju 23, Bohinjska Bistrica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 w:rsidR="00361C08">
        <w:rPr>
          <w:rFonts w:ascii="Calibri" w:hAnsi="Calibri"/>
          <w:b/>
          <w:sz w:val="22"/>
          <w:szCs w:val="22"/>
        </w:rPr>
        <w:t>3</w:t>
      </w:r>
      <w:r w:rsidRPr="00F61038">
        <w:rPr>
          <w:rFonts w:ascii="Calibri" w:hAnsi="Calibri"/>
          <w:b/>
          <w:sz w:val="22"/>
          <w:szCs w:val="22"/>
        </w:rPr>
        <w:t>:</w:t>
      </w:r>
      <w:r w:rsidR="00361C08">
        <w:rPr>
          <w:rFonts w:ascii="Calibri" w:hAnsi="Calibri"/>
          <w:b/>
          <w:sz w:val="22"/>
          <w:szCs w:val="22"/>
        </w:rPr>
        <w:t>10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B46161">
        <w:rPr>
          <w:rFonts w:ascii="Calibri" w:hAnsi="Calibri"/>
          <w:b/>
          <w:sz w:val="22"/>
          <w:szCs w:val="22"/>
        </w:rPr>
        <w:t>07</w:t>
      </w:r>
      <w:r w:rsidR="009016F8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03</w:t>
      </w:r>
      <w:r w:rsidR="002725E1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najkasneje do 07.03.2024.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>dne 2</w:t>
      </w:r>
      <w:r w:rsidR="00FF17E1">
        <w:rPr>
          <w:rFonts w:ascii="Calibri" w:hAnsi="Calibri"/>
          <w:sz w:val="22"/>
          <w:szCs w:val="22"/>
        </w:rPr>
        <w:t>2</w:t>
      </w:r>
      <w:r w:rsidR="000B330E">
        <w:rPr>
          <w:rFonts w:ascii="Calibri" w:hAnsi="Calibri"/>
          <w:sz w:val="22"/>
          <w:szCs w:val="22"/>
        </w:rPr>
        <w:t>.</w:t>
      </w:r>
      <w:r w:rsidR="00FF17E1">
        <w:rPr>
          <w:rFonts w:ascii="Calibri" w:hAnsi="Calibri"/>
          <w:sz w:val="22"/>
          <w:szCs w:val="22"/>
        </w:rPr>
        <w:t>02</w:t>
      </w:r>
      <w:r w:rsidR="000B330E">
        <w:rPr>
          <w:rFonts w:ascii="Calibri" w:hAnsi="Calibri"/>
          <w:sz w:val="22"/>
          <w:szCs w:val="22"/>
        </w:rPr>
        <w:t>.202</w:t>
      </w:r>
      <w:r w:rsidR="00FF17E1">
        <w:rPr>
          <w:rFonts w:ascii="Calibri" w:hAnsi="Calibri"/>
          <w:sz w:val="22"/>
          <w:szCs w:val="22"/>
        </w:rPr>
        <w:t>4</w:t>
      </w:r>
      <w:r w:rsidR="000B330E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>ob 1</w:t>
      </w:r>
      <w:r w:rsidR="008A464C">
        <w:rPr>
          <w:rFonts w:ascii="Calibri" w:hAnsi="Calibri"/>
          <w:sz w:val="22"/>
          <w:szCs w:val="22"/>
        </w:rPr>
        <w:t>1:00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</w:p>
    <w:p w:rsid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-  </w:t>
      </w:r>
      <w:r w:rsidRPr="0078122F">
        <w:rPr>
          <w:rFonts w:ascii="Calibri" w:hAnsi="Calibri"/>
          <w:sz w:val="22"/>
          <w:szCs w:val="22"/>
        </w:rPr>
        <w:t xml:space="preserve">dne </w:t>
      </w:r>
      <w:r w:rsidR="00E01401">
        <w:rPr>
          <w:rFonts w:ascii="Calibri" w:hAnsi="Calibri"/>
          <w:sz w:val="22"/>
          <w:szCs w:val="22"/>
        </w:rPr>
        <w:t>29</w:t>
      </w:r>
      <w:r w:rsidRPr="0078122F">
        <w:rPr>
          <w:rFonts w:ascii="Calibri" w:hAnsi="Calibri"/>
          <w:sz w:val="22"/>
          <w:szCs w:val="22"/>
        </w:rPr>
        <w:t>.</w:t>
      </w:r>
      <w:r w:rsidR="00E01401">
        <w:rPr>
          <w:rFonts w:ascii="Calibri" w:hAnsi="Calibri"/>
          <w:sz w:val="22"/>
          <w:szCs w:val="22"/>
        </w:rPr>
        <w:t>02</w:t>
      </w:r>
      <w:r w:rsidRPr="0078122F">
        <w:rPr>
          <w:rFonts w:ascii="Calibri" w:hAnsi="Calibri"/>
          <w:sz w:val="22"/>
          <w:szCs w:val="22"/>
        </w:rPr>
        <w:t>.202</w:t>
      </w:r>
      <w:r w:rsidR="00E01401">
        <w:rPr>
          <w:rFonts w:ascii="Calibri" w:hAnsi="Calibri"/>
          <w:sz w:val="22"/>
          <w:szCs w:val="22"/>
        </w:rPr>
        <w:t>4</w:t>
      </w:r>
      <w:r w:rsidRPr="0078122F">
        <w:rPr>
          <w:rFonts w:ascii="Calibri" w:hAnsi="Calibri"/>
          <w:sz w:val="22"/>
          <w:szCs w:val="22"/>
        </w:rPr>
        <w:t xml:space="preserve"> ob </w:t>
      </w:r>
      <w:r w:rsidR="008A464C">
        <w:rPr>
          <w:rFonts w:ascii="Calibri" w:hAnsi="Calibri"/>
          <w:sz w:val="22"/>
          <w:szCs w:val="22"/>
        </w:rPr>
        <w:t>11</w:t>
      </w:r>
      <w:r w:rsidRPr="0078122F">
        <w:rPr>
          <w:rFonts w:ascii="Calibri" w:hAnsi="Calibri"/>
          <w:sz w:val="22"/>
          <w:szCs w:val="22"/>
        </w:rPr>
        <w:t>:00 uri</w:t>
      </w:r>
      <w:r>
        <w:rPr>
          <w:rFonts w:ascii="Calibri" w:hAnsi="Calibri"/>
          <w:sz w:val="22"/>
          <w:szCs w:val="22"/>
        </w:rPr>
        <w:t>;</w:t>
      </w:r>
    </w:p>
    <w:p w:rsidR="001F40E2" w:rsidRDefault="00E01401" w:rsidP="001F40E2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Ravne v Bohinju</w:t>
      </w:r>
      <w:r w:rsidR="001F40E2">
        <w:rPr>
          <w:rFonts w:ascii="Calibri" w:hAnsi="Calibri"/>
          <w:sz w:val="22"/>
          <w:szCs w:val="22"/>
        </w:rPr>
        <w:t xml:space="preserve"> – po dogovoru;</w:t>
      </w:r>
    </w:p>
    <w:p w:rsidR="0078122F" w:rsidRP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F61038" w:rsidRPr="000B330E" w:rsidRDefault="00F61038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330E">
        <w:rPr>
          <w:rFonts w:ascii="Calibri" w:hAnsi="Calibri"/>
          <w:sz w:val="22"/>
          <w:szCs w:val="22"/>
        </w:rPr>
        <w:t>Resljeva cesta 1</w:t>
      </w:r>
      <w:r w:rsidR="00130970">
        <w:rPr>
          <w:rFonts w:ascii="Calibri" w:hAnsi="Calibri"/>
          <w:sz w:val="22"/>
          <w:szCs w:val="22"/>
        </w:rPr>
        <w:t>4</w:t>
      </w:r>
      <w:r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po dogovoru.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D113F"/>
    <w:rsid w:val="001E43B9"/>
    <w:rsid w:val="001F40E2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94F16"/>
    <w:rsid w:val="003C6CC6"/>
    <w:rsid w:val="003D1F95"/>
    <w:rsid w:val="003D66B4"/>
    <w:rsid w:val="003F1BC7"/>
    <w:rsid w:val="0043755B"/>
    <w:rsid w:val="00444200"/>
    <w:rsid w:val="0044789B"/>
    <w:rsid w:val="00465681"/>
    <w:rsid w:val="004912EB"/>
    <w:rsid w:val="004936B5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87F20"/>
    <w:rsid w:val="006D0D6A"/>
    <w:rsid w:val="006D5CC4"/>
    <w:rsid w:val="0073142E"/>
    <w:rsid w:val="00772B34"/>
    <w:rsid w:val="0078122F"/>
    <w:rsid w:val="0078743C"/>
    <w:rsid w:val="007B0A20"/>
    <w:rsid w:val="007B5F3E"/>
    <w:rsid w:val="007C5EF9"/>
    <w:rsid w:val="00833D99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752DC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C267B3-3549-4ED2-8D05-F1B3933D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3</cp:revision>
  <cp:lastPrinted>2024-02-14T09:11:00Z</cp:lastPrinted>
  <dcterms:created xsi:type="dcterms:W3CDTF">2024-02-14T10:02:00Z</dcterms:created>
  <dcterms:modified xsi:type="dcterms:W3CDTF">2024-02-14T10:02:00Z</dcterms:modified>
</cp:coreProperties>
</file>