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3F" w:rsidRPr="000353D5" w:rsidRDefault="00FD6D3F" w:rsidP="00FD6D3F">
      <w:pPr>
        <w:rPr>
          <w:rFonts w:ascii="Bradley Hand ITC" w:hAnsi="Bradley Hand ITC"/>
          <w:b/>
          <w:sz w:val="36"/>
          <w:szCs w:val="36"/>
        </w:rPr>
      </w:pPr>
      <w:bookmarkStart w:id="0" w:name="_GoBack"/>
      <w:bookmarkEnd w:id="0"/>
      <w:r w:rsidRPr="000353D5">
        <w:rPr>
          <w:rFonts w:ascii="Bradley Hand ITC" w:hAnsi="Bradley Hand ITC"/>
          <w:b/>
          <w:sz w:val="36"/>
          <w:szCs w:val="36"/>
        </w:rPr>
        <w:t xml:space="preserve">Kako temperatura </w:t>
      </w:r>
      <w:r>
        <w:rPr>
          <w:rFonts w:ascii="Bradley Hand ITC" w:hAnsi="Bradley Hand ITC"/>
          <w:b/>
          <w:sz w:val="36"/>
          <w:szCs w:val="36"/>
        </w:rPr>
        <w:t xml:space="preserve">tal </w:t>
      </w:r>
      <w:r w:rsidRPr="000353D5">
        <w:rPr>
          <w:rFonts w:ascii="Bradley Hand ITC" w:hAnsi="Bradley Hand ITC"/>
          <w:b/>
          <w:sz w:val="36"/>
          <w:szCs w:val="36"/>
        </w:rPr>
        <w:t>vpliva na kaljenje semena?</w:t>
      </w:r>
    </w:p>
    <w:p w:rsidR="00FD6D3F" w:rsidRPr="00CB2750" w:rsidRDefault="00FD6D3F" w:rsidP="00FD6D3F">
      <w:pPr>
        <w:rPr>
          <w:sz w:val="24"/>
          <w:szCs w:val="24"/>
        </w:rPr>
      </w:pPr>
      <w:r w:rsidRPr="00CB2750">
        <w:rPr>
          <w:sz w:val="24"/>
          <w:szCs w:val="24"/>
        </w:rPr>
        <w:t>V spodnji tabeli je nekaj primerov vrtnin in čas njihovega kaljenja pri različnih temperaturah. Poleg same hitrosti kaljenja je pri daljšem »čakanju« semena v zemlji tudi večja verjetnost, da seme propade in ne vzkali. Tako lahko zaradi prevelike vlage zgnije in propade.</w:t>
      </w:r>
    </w:p>
    <w:p w:rsidR="00FD6D3F" w:rsidRDefault="00FD6D3F" w:rsidP="00FD6D3F">
      <w:pPr>
        <w:jc w:val="both"/>
        <w:rPr>
          <w:rFonts w:cstheme="minorHAnsi"/>
          <w:sz w:val="24"/>
          <w:szCs w:val="24"/>
        </w:rPr>
      </w:pPr>
      <w:r w:rsidRPr="00CB2750">
        <w:rPr>
          <w:sz w:val="24"/>
          <w:szCs w:val="24"/>
        </w:rPr>
        <w:t xml:space="preserve">Kako lahko spremljamo temperaturo tar? Na spletnih straneh Agencije RS za okolje so v rubriki </w:t>
      </w:r>
      <w:r w:rsidRPr="00CB2750">
        <w:rPr>
          <w:i/>
          <w:sz w:val="24"/>
          <w:szCs w:val="24"/>
        </w:rPr>
        <w:t>Agrometeorologija /</w:t>
      </w:r>
      <w:r w:rsidRPr="00CB2750">
        <w:rPr>
          <w:rFonts w:ascii="Arial" w:hAnsi="Arial" w:cs="Arial"/>
          <w:i/>
          <w:sz w:val="24"/>
          <w:szCs w:val="24"/>
          <w:shd w:val="clear" w:color="auto" w:fill="F3F3F3"/>
        </w:rPr>
        <w:t> </w:t>
      </w:r>
      <w:hyperlink r:id="rId5" w:history="1">
        <w:r w:rsidRPr="00CB2750">
          <w:rPr>
            <w:rStyle w:val="Hiperpovezava"/>
            <w:rFonts w:cstheme="minorHAnsi"/>
            <w:i/>
            <w:color w:val="auto"/>
            <w:sz w:val="24"/>
            <w:szCs w:val="24"/>
            <w:u w:val="none"/>
            <w:shd w:val="clear" w:color="auto" w:fill="F3F3F3"/>
          </w:rPr>
          <w:t>Agrometeorološke spremenljivke v tekočem letu</w:t>
        </w:r>
      </w:hyperlink>
      <w:r w:rsidRPr="00CB2750">
        <w:rPr>
          <w:rFonts w:cstheme="minorHAnsi"/>
          <w:i/>
          <w:sz w:val="24"/>
          <w:szCs w:val="24"/>
        </w:rPr>
        <w:t xml:space="preserve"> /</w:t>
      </w:r>
      <w:r w:rsidRPr="00CB2750">
        <w:rPr>
          <w:rFonts w:cstheme="minorHAnsi"/>
          <w:i/>
          <w:sz w:val="24"/>
          <w:szCs w:val="24"/>
          <w:shd w:val="clear" w:color="auto" w:fill="F3F3F3"/>
        </w:rPr>
        <w:t> </w:t>
      </w:r>
      <w:hyperlink r:id="rId6" w:history="1">
        <w:r w:rsidRPr="00CB2750">
          <w:rPr>
            <w:rStyle w:val="Hiperpovezava"/>
            <w:rFonts w:cstheme="minorHAnsi"/>
            <w:i/>
            <w:color w:val="auto"/>
            <w:sz w:val="24"/>
            <w:szCs w:val="24"/>
            <w:u w:val="none"/>
            <w:shd w:val="clear" w:color="auto" w:fill="F3F3F3"/>
          </w:rPr>
          <w:t>Temperature in stanje tal</w:t>
        </w:r>
      </w:hyperlink>
      <w:r w:rsidRPr="00CB2750">
        <w:rPr>
          <w:rFonts w:cstheme="minorHAnsi"/>
          <w:sz w:val="24"/>
          <w:szCs w:val="24"/>
        </w:rPr>
        <w:t xml:space="preserve"> zbrane temperature tal na globini 5 in 10 cm. Na desnem robu so zbrane temperaturne meritve preteklih dni, tako da lahko spremljate, kaj se dogaja. Tako je na primer temperatura tal na globini 10 cm  18.3. (to je bilo pred ohladitvijo) dosegla že 9.1°C, po ohladitvi pa je naslednji dan padla na 6.1°C, v sredo na 6.0°C in 21.3. (v četrtek) še nižje na 5.3°C. </w:t>
      </w:r>
    </w:p>
    <w:p w:rsidR="00FD6D3F" w:rsidRPr="00CB2750" w:rsidRDefault="00FD6D3F" w:rsidP="00FD6D3F">
      <w:pPr>
        <w:jc w:val="both"/>
        <w:rPr>
          <w:rFonts w:cstheme="minorHAnsi"/>
          <w:sz w:val="24"/>
          <w:szCs w:val="24"/>
        </w:rPr>
      </w:pPr>
    </w:p>
    <w:tbl>
      <w:tblPr>
        <w:tblStyle w:val="Tabelamrea"/>
        <w:tblW w:w="0" w:type="auto"/>
        <w:tblLook w:val="04A0" w:firstRow="1" w:lastRow="0" w:firstColumn="1" w:lastColumn="0" w:noHBand="0" w:noVBand="1"/>
      </w:tblPr>
      <w:tblGrid>
        <w:gridCol w:w="2265"/>
        <w:gridCol w:w="1132"/>
        <w:gridCol w:w="1134"/>
        <w:gridCol w:w="1134"/>
      </w:tblGrid>
      <w:tr w:rsidR="00FD6D3F" w:rsidRPr="007657FA" w:rsidTr="0025029F">
        <w:tc>
          <w:tcPr>
            <w:tcW w:w="2265" w:type="dxa"/>
            <w:shd w:val="clear" w:color="auto" w:fill="C5E0B3" w:themeFill="accent6" w:themeFillTint="66"/>
          </w:tcPr>
          <w:p w:rsidR="00FD6D3F" w:rsidRPr="007657FA" w:rsidRDefault="00FD6D3F" w:rsidP="0025029F">
            <w:pPr>
              <w:spacing w:before="60" w:after="60"/>
              <w:rPr>
                <w:sz w:val="24"/>
                <w:szCs w:val="24"/>
              </w:rPr>
            </w:pPr>
          </w:p>
        </w:tc>
        <w:tc>
          <w:tcPr>
            <w:tcW w:w="3400" w:type="dxa"/>
            <w:gridSpan w:val="3"/>
            <w:shd w:val="clear" w:color="auto" w:fill="C5E0B3" w:themeFill="accent6" w:themeFillTint="66"/>
          </w:tcPr>
          <w:p w:rsidR="00FD6D3F" w:rsidRPr="007657FA" w:rsidRDefault="00FD6D3F" w:rsidP="0025029F">
            <w:pPr>
              <w:spacing w:before="60" w:after="60"/>
              <w:jc w:val="center"/>
              <w:rPr>
                <w:sz w:val="24"/>
                <w:szCs w:val="24"/>
              </w:rPr>
            </w:pPr>
            <w:r w:rsidRPr="007657FA">
              <w:rPr>
                <w:sz w:val="24"/>
                <w:szCs w:val="24"/>
              </w:rPr>
              <w:t>Število dni do vznika pri temperaturi</w:t>
            </w:r>
            <w:r>
              <w:rPr>
                <w:sz w:val="24"/>
                <w:szCs w:val="24"/>
              </w:rPr>
              <w:t xml:space="preserve"> tal</w:t>
            </w:r>
          </w:p>
        </w:tc>
      </w:tr>
      <w:tr w:rsidR="00FD6D3F" w:rsidRPr="007657FA" w:rsidTr="0025029F">
        <w:tc>
          <w:tcPr>
            <w:tcW w:w="2265" w:type="dxa"/>
            <w:shd w:val="clear" w:color="auto" w:fill="C5E0B3" w:themeFill="accent6" w:themeFillTint="66"/>
          </w:tcPr>
          <w:p w:rsidR="00FD6D3F" w:rsidRPr="007657FA" w:rsidRDefault="00FD6D3F" w:rsidP="0025029F">
            <w:pPr>
              <w:rPr>
                <w:b/>
                <w:sz w:val="24"/>
                <w:szCs w:val="24"/>
              </w:rPr>
            </w:pPr>
            <w:r w:rsidRPr="007657FA">
              <w:rPr>
                <w:b/>
                <w:sz w:val="24"/>
                <w:szCs w:val="24"/>
              </w:rPr>
              <w:t>Vrsta vrtnine</w:t>
            </w:r>
          </w:p>
        </w:tc>
        <w:tc>
          <w:tcPr>
            <w:tcW w:w="1132" w:type="dxa"/>
            <w:shd w:val="clear" w:color="auto" w:fill="E2EFD9" w:themeFill="accent6" w:themeFillTint="33"/>
          </w:tcPr>
          <w:p w:rsidR="00FD6D3F" w:rsidRPr="007657FA" w:rsidRDefault="00FD6D3F" w:rsidP="0025029F">
            <w:pPr>
              <w:jc w:val="center"/>
              <w:rPr>
                <w:b/>
                <w:sz w:val="24"/>
                <w:szCs w:val="24"/>
              </w:rPr>
            </w:pPr>
            <w:r w:rsidRPr="007657FA">
              <w:rPr>
                <w:b/>
                <w:sz w:val="24"/>
                <w:szCs w:val="24"/>
              </w:rPr>
              <w:t>5°C</w:t>
            </w:r>
          </w:p>
        </w:tc>
        <w:tc>
          <w:tcPr>
            <w:tcW w:w="1134" w:type="dxa"/>
            <w:shd w:val="clear" w:color="auto" w:fill="C5E0B3" w:themeFill="accent6" w:themeFillTint="66"/>
          </w:tcPr>
          <w:p w:rsidR="00FD6D3F" w:rsidRPr="007657FA" w:rsidRDefault="00FD6D3F" w:rsidP="0025029F">
            <w:pPr>
              <w:jc w:val="center"/>
              <w:rPr>
                <w:b/>
                <w:sz w:val="24"/>
                <w:szCs w:val="24"/>
              </w:rPr>
            </w:pPr>
            <w:r w:rsidRPr="007657FA">
              <w:rPr>
                <w:b/>
                <w:sz w:val="24"/>
                <w:szCs w:val="24"/>
              </w:rPr>
              <w:t>12°C</w:t>
            </w:r>
          </w:p>
        </w:tc>
        <w:tc>
          <w:tcPr>
            <w:tcW w:w="1134" w:type="dxa"/>
            <w:shd w:val="clear" w:color="auto" w:fill="A8D08D" w:themeFill="accent6" w:themeFillTint="99"/>
          </w:tcPr>
          <w:p w:rsidR="00FD6D3F" w:rsidRPr="007657FA" w:rsidRDefault="00FD6D3F" w:rsidP="0025029F">
            <w:pPr>
              <w:jc w:val="center"/>
              <w:rPr>
                <w:b/>
                <w:sz w:val="24"/>
                <w:szCs w:val="24"/>
              </w:rPr>
            </w:pPr>
            <w:r w:rsidRPr="007657FA">
              <w:rPr>
                <w:b/>
                <w:sz w:val="24"/>
                <w:szCs w:val="24"/>
              </w:rPr>
              <w:t>20°C</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Solata</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47</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8</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4</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Fižol</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30</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10</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Rdeča pesa</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40</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12</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7</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Korenje</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40</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15</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8</w:t>
            </w:r>
            <w:r>
              <w:rPr>
                <w:sz w:val="24"/>
                <w:szCs w:val="24"/>
              </w:rPr>
              <w:t>-10</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Por</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60</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22</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6-12</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Čebula</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61</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21</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6-12</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Grah</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28</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9</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5</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Paradižnik</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27</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8</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Paprika</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56</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22</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Špinača</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23</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8</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6</w:t>
            </w:r>
          </w:p>
        </w:tc>
      </w:tr>
      <w:tr w:rsidR="00FD6D3F" w:rsidRPr="007657FA" w:rsidTr="0025029F">
        <w:tc>
          <w:tcPr>
            <w:tcW w:w="2265" w:type="dxa"/>
            <w:shd w:val="clear" w:color="auto" w:fill="C5E0B3" w:themeFill="accent6" w:themeFillTint="66"/>
          </w:tcPr>
          <w:p w:rsidR="00FD6D3F" w:rsidRPr="007657FA" w:rsidRDefault="00FD6D3F" w:rsidP="0025029F">
            <w:pPr>
              <w:rPr>
                <w:sz w:val="24"/>
                <w:szCs w:val="24"/>
              </w:rPr>
            </w:pPr>
            <w:r w:rsidRPr="007657FA">
              <w:rPr>
                <w:sz w:val="24"/>
                <w:szCs w:val="24"/>
              </w:rPr>
              <w:t xml:space="preserve">Kolerabica </w:t>
            </w:r>
          </w:p>
        </w:tc>
        <w:tc>
          <w:tcPr>
            <w:tcW w:w="1132" w:type="dxa"/>
            <w:shd w:val="clear" w:color="auto" w:fill="FFF2CC" w:themeFill="accent4" w:themeFillTint="33"/>
          </w:tcPr>
          <w:p w:rsidR="00FD6D3F" w:rsidRPr="007657FA" w:rsidRDefault="00FD6D3F" w:rsidP="0025029F">
            <w:pPr>
              <w:jc w:val="center"/>
              <w:rPr>
                <w:sz w:val="24"/>
                <w:szCs w:val="24"/>
              </w:rPr>
            </w:pPr>
            <w:r w:rsidRPr="007657FA">
              <w:rPr>
                <w:sz w:val="24"/>
                <w:szCs w:val="24"/>
              </w:rPr>
              <w:t>30</w:t>
            </w:r>
          </w:p>
        </w:tc>
        <w:tc>
          <w:tcPr>
            <w:tcW w:w="1134" w:type="dxa"/>
            <w:shd w:val="clear" w:color="auto" w:fill="FFE599" w:themeFill="accent4" w:themeFillTint="66"/>
          </w:tcPr>
          <w:p w:rsidR="00FD6D3F" w:rsidRPr="007657FA" w:rsidRDefault="00FD6D3F" w:rsidP="0025029F">
            <w:pPr>
              <w:jc w:val="center"/>
              <w:rPr>
                <w:sz w:val="24"/>
                <w:szCs w:val="24"/>
              </w:rPr>
            </w:pPr>
            <w:r w:rsidRPr="007657FA">
              <w:rPr>
                <w:sz w:val="24"/>
                <w:szCs w:val="24"/>
              </w:rPr>
              <w:t>10</w:t>
            </w:r>
          </w:p>
        </w:tc>
        <w:tc>
          <w:tcPr>
            <w:tcW w:w="1134" w:type="dxa"/>
            <w:shd w:val="clear" w:color="auto" w:fill="FFD966" w:themeFill="accent4" w:themeFillTint="99"/>
          </w:tcPr>
          <w:p w:rsidR="00FD6D3F" w:rsidRPr="007657FA" w:rsidRDefault="00FD6D3F" w:rsidP="0025029F">
            <w:pPr>
              <w:jc w:val="center"/>
              <w:rPr>
                <w:sz w:val="24"/>
                <w:szCs w:val="24"/>
              </w:rPr>
            </w:pPr>
            <w:r w:rsidRPr="007657FA">
              <w:rPr>
                <w:sz w:val="24"/>
                <w:szCs w:val="24"/>
              </w:rPr>
              <w:t>5</w:t>
            </w:r>
          </w:p>
        </w:tc>
      </w:tr>
    </w:tbl>
    <w:p w:rsidR="00FD6D3F" w:rsidRDefault="00FD6D3F" w:rsidP="00FD6D3F">
      <w:pPr>
        <w:rPr>
          <w:sz w:val="20"/>
          <w:szCs w:val="20"/>
        </w:rPr>
      </w:pPr>
      <w:r w:rsidRPr="007657FA">
        <w:rPr>
          <w:sz w:val="20"/>
          <w:szCs w:val="20"/>
        </w:rPr>
        <w:t>Vir: Kmetijsko gozdarski zavod</w:t>
      </w:r>
    </w:p>
    <w:p w:rsidR="000521B3" w:rsidRDefault="00FD6D3F" w:rsidP="00FD6D3F">
      <w:r w:rsidRPr="00CB2750">
        <w:rPr>
          <w:sz w:val="24"/>
          <w:szCs w:val="24"/>
        </w:rPr>
        <w:t xml:space="preserve">Spremljajte temperaturo tal in se na osnovi meritev odločajte, kdaj boste sadili in sejali. Splača se počakati </w:t>
      </w:r>
      <w:r w:rsidRPr="00CB2750">
        <w:rPr>
          <w:rFonts w:ascii="Segoe UI Emoji" w:eastAsia="Segoe UI Emoji" w:hAnsi="Segoe UI Emoji" w:cs="Segoe UI Emoji"/>
          <w:sz w:val="24"/>
          <w:szCs w:val="24"/>
        </w:rPr>
        <w:t>😊</w:t>
      </w:r>
    </w:p>
    <w:sectPr w:rsidR="00052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radley Hand ITC">
    <w:altName w:val="Viner Hand ITC"/>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3F"/>
    <w:rsid w:val="000521B3"/>
    <w:rsid w:val="000632F5"/>
    <w:rsid w:val="002C23B4"/>
    <w:rsid w:val="00857845"/>
    <w:rsid w:val="00F45A6D"/>
    <w:rsid w:val="00FD6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6D3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D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FD6D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6D3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D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FD6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teo.arso.gov.si/met/sl/agromet/recent/tsoil" TargetMode="External"/><Relationship Id="rId5" Type="http://schemas.openxmlformats.org/officeDocument/2006/relationships/hyperlink" Target="http://meteo.arso.gov.si/met/sl/agromet/recent"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4</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Kajzer Nagode</dc:creator>
  <cp:lastModifiedBy>Tina Čargo</cp:lastModifiedBy>
  <cp:revision>2</cp:revision>
  <dcterms:created xsi:type="dcterms:W3CDTF">2019-06-10T12:55:00Z</dcterms:created>
  <dcterms:modified xsi:type="dcterms:W3CDTF">2019-06-10T12:55:00Z</dcterms:modified>
</cp:coreProperties>
</file>