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B75B8">
      <w:pPr>
        <w:pStyle w:val="Telobesedila"/>
        <w:kinsoku w:val="0"/>
        <w:overflowPunct w:val="0"/>
        <w:spacing w:before="94"/>
        <w:ind w:left="157"/>
        <w:rPr>
          <w:i w:val="0"/>
          <w:iCs w:val="0"/>
          <w:w w:val="105"/>
          <w:sz w:val="22"/>
          <w:szCs w:val="22"/>
        </w:rPr>
      </w:pPr>
      <w:r>
        <w:rPr>
          <w:i w:val="0"/>
          <w:iCs w:val="0"/>
          <w:w w:val="105"/>
          <w:sz w:val="22"/>
          <w:szCs w:val="22"/>
        </w:rPr>
        <w:t>PRILOGA 20A</w:t>
      </w:r>
    </w:p>
    <w:p w:rsidR="00000000" w:rsidRDefault="00FB75B8">
      <w:pPr>
        <w:pStyle w:val="Telobesedila"/>
        <w:kinsoku w:val="0"/>
        <w:overflowPunct w:val="0"/>
        <w:spacing w:before="165" w:line="254" w:lineRule="auto"/>
        <w:ind w:left="166" w:right="3566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t>MNENJE POOBLAŠČENEGA STROKOVNJAKA S PODROČJA GRADBENIŠTVA</w:t>
      </w:r>
    </w:p>
    <w:p w:rsidR="00000000" w:rsidRDefault="00FB75B8">
      <w:pPr>
        <w:pStyle w:val="Telobesedila"/>
        <w:kinsoku w:val="0"/>
        <w:overflowPunct w:val="0"/>
        <w:rPr>
          <w:i w:val="0"/>
          <w:iCs w:val="0"/>
          <w:sz w:val="20"/>
          <w:szCs w:val="20"/>
        </w:rPr>
      </w:pPr>
    </w:p>
    <w:p w:rsidR="00000000" w:rsidRDefault="00FB75B8">
      <w:pPr>
        <w:pStyle w:val="Telobesedila"/>
        <w:kinsoku w:val="0"/>
        <w:overflowPunct w:val="0"/>
        <w:rPr>
          <w:i w:val="0"/>
          <w:iCs w:val="0"/>
          <w:sz w:val="20"/>
          <w:szCs w:val="20"/>
        </w:rPr>
      </w:pPr>
    </w:p>
    <w:p w:rsidR="00000000" w:rsidRDefault="00473DC7">
      <w:pPr>
        <w:pStyle w:val="Telobesedila"/>
        <w:kinsoku w:val="0"/>
        <w:overflowPunct w:val="0"/>
        <w:spacing w:before="4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222885</wp:posOffset>
                </wp:positionV>
                <wp:extent cx="5746750" cy="12700"/>
                <wp:effectExtent l="0" t="0" r="0" b="0"/>
                <wp:wrapTopAndBottom/>
                <wp:docPr id="2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750" cy="12700"/>
                        </a:xfrm>
                        <a:custGeom>
                          <a:avLst/>
                          <a:gdLst>
                            <a:gd name="T0" fmla="*/ 0 w 9050"/>
                            <a:gd name="T1" fmla="*/ 0 h 20"/>
                            <a:gd name="T2" fmla="*/ 9049 w 90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50" h="20">
                              <a:moveTo>
                                <a:pt x="0" y="0"/>
                              </a:moveTo>
                              <a:lnTo>
                                <a:pt x="9049" y="0"/>
                              </a:lnTo>
                            </a:path>
                          </a:pathLst>
                        </a:custGeom>
                        <a:noFill/>
                        <a:ln w="11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90C388" id="Freeform 2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05pt,17.55pt,511.5pt,17.55pt" coordsize="90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" o:allowincell="f" filled="f" strokeweight=".31889mm">
                <v:path arrowok="t" o:connecttype="custom" o:connectlocs="0,0;5746115,0" o:connectangles="0,0"/>
                <w10:wrap type="topAndBottom" anchorx="page"/>
              </v:polyline>
            </w:pict>
          </mc:Fallback>
        </mc:AlternateContent>
      </w:r>
    </w:p>
    <w:p w:rsidR="00000000" w:rsidRDefault="00FB75B8">
      <w:pPr>
        <w:pStyle w:val="Naslov1"/>
        <w:kinsoku w:val="0"/>
        <w:overflowPunct w:val="0"/>
        <w:spacing w:before="0" w:line="193" w:lineRule="exact"/>
        <w:rPr>
          <w:w w:val="105"/>
        </w:rPr>
      </w:pPr>
      <w:r>
        <w:rPr>
          <w:w w:val="105"/>
        </w:rPr>
        <w:t>OSNOVNI PODATKI O INVESTITORJU, OBJEKTU IN ZEMLJIŠČIH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6"/>
        <w:gridCol w:w="63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65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38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ime in priimek ali naziv družbe</w:t>
            </w:r>
          </w:p>
        </w:tc>
        <w:tc>
          <w:tcPr>
            <w:tcW w:w="63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65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38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naslov ali sedež družbe</w:t>
            </w:r>
          </w:p>
        </w:tc>
        <w:tc>
          <w:tcPr>
            <w:tcW w:w="63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65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38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naziv objekta</w:t>
            </w:r>
          </w:p>
        </w:tc>
        <w:tc>
          <w:tcPr>
            <w:tcW w:w="63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65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38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naslov objekta</w:t>
            </w:r>
          </w:p>
        </w:tc>
        <w:tc>
          <w:tcPr>
            <w:tcW w:w="63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65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38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katastrska občina</w:t>
            </w:r>
          </w:p>
        </w:tc>
        <w:tc>
          <w:tcPr>
            <w:tcW w:w="63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65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38"/>
              <w:ind w:left="38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parc</w:t>
            </w:r>
            <w:proofErr w:type="spellEnd"/>
            <w:r>
              <w:rPr>
                <w:sz w:val="17"/>
                <w:szCs w:val="17"/>
              </w:rPr>
              <w:t>. št.</w:t>
            </w:r>
          </w:p>
        </w:tc>
        <w:tc>
          <w:tcPr>
            <w:tcW w:w="63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65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38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št. stavbe</w:t>
            </w:r>
          </w:p>
        </w:tc>
        <w:tc>
          <w:tcPr>
            <w:tcW w:w="63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656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29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št. stanovanja v večstanovanjski stavbi</w:t>
            </w:r>
          </w:p>
        </w:tc>
        <w:tc>
          <w:tcPr>
            <w:tcW w:w="6393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FB75B8">
      <w:pPr>
        <w:pStyle w:val="Telobesedila"/>
        <w:kinsoku w:val="0"/>
        <w:overflowPunct w:val="0"/>
        <w:spacing w:before="16" w:after="42"/>
        <w:ind w:left="152"/>
        <w:rPr>
          <w:i w:val="0"/>
          <w:iCs w:val="0"/>
          <w:w w:val="105"/>
          <w:sz w:val="18"/>
          <w:szCs w:val="18"/>
        </w:rPr>
      </w:pPr>
      <w:r>
        <w:rPr>
          <w:i w:val="0"/>
          <w:iCs w:val="0"/>
          <w:w w:val="105"/>
          <w:sz w:val="18"/>
          <w:szCs w:val="18"/>
        </w:rPr>
        <w:t>PROJEKTANT/ NADZORNIK/ IZVAJALEC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6"/>
        <w:gridCol w:w="63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65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38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naziv družbe</w:t>
            </w:r>
          </w:p>
        </w:tc>
        <w:tc>
          <w:tcPr>
            <w:tcW w:w="63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65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38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poslovni naslov družbe</w:t>
            </w:r>
          </w:p>
        </w:tc>
        <w:tc>
          <w:tcPr>
            <w:tcW w:w="63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2656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51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odgovorna oseba</w:t>
            </w:r>
          </w:p>
        </w:tc>
        <w:tc>
          <w:tcPr>
            <w:tcW w:w="6393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FB75B8">
      <w:pPr>
        <w:pStyle w:val="Telobesedila"/>
        <w:kinsoku w:val="0"/>
        <w:overflowPunct w:val="0"/>
        <w:spacing w:before="16" w:after="42"/>
        <w:ind w:left="152"/>
        <w:rPr>
          <w:i w:val="0"/>
          <w:iCs w:val="0"/>
          <w:w w:val="105"/>
          <w:sz w:val="18"/>
          <w:szCs w:val="18"/>
        </w:rPr>
      </w:pPr>
      <w:r>
        <w:rPr>
          <w:i w:val="0"/>
          <w:iCs w:val="0"/>
          <w:w w:val="105"/>
          <w:sz w:val="18"/>
          <w:szCs w:val="18"/>
        </w:rPr>
        <w:t>POOBLAŠČENI STROKOVNJAK S PODROČJA GRADBENIŠTVA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6"/>
        <w:gridCol w:w="63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65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29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ime in priimek</w:t>
            </w:r>
          </w:p>
        </w:tc>
        <w:tc>
          <w:tcPr>
            <w:tcW w:w="63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65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29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identifikacijska številka</w:t>
            </w:r>
          </w:p>
        </w:tc>
        <w:tc>
          <w:tcPr>
            <w:tcW w:w="63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FB75B8">
      <w:pPr>
        <w:pStyle w:val="Telobesedila"/>
        <w:kinsoku w:val="0"/>
        <w:overflowPunct w:val="0"/>
        <w:spacing w:before="37"/>
        <w:ind w:left="665"/>
      </w:pPr>
      <w:r>
        <w:t>UGOTAVLJAVA, DA PREDVIDENA MANJŠA REKONSTRUKCIJA PREDSTAVLJA:</w:t>
      </w:r>
    </w:p>
    <w:p w:rsidR="00000000" w:rsidRDefault="00FB75B8">
      <w:pPr>
        <w:pStyle w:val="Telobesedila"/>
        <w:kinsoku w:val="0"/>
        <w:overflowPunct w:val="0"/>
        <w:spacing w:before="56"/>
        <w:ind w:left="665"/>
        <w:rPr>
          <w:b w:val="0"/>
          <w:bCs w:val="0"/>
          <w:color w:val="828386"/>
        </w:rPr>
      </w:pPr>
      <w:r>
        <w:rPr>
          <w:b w:val="0"/>
          <w:bCs w:val="0"/>
          <w:color w:val="828386"/>
        </w:rPr>
        <w:t>označiti vsa ustrezna dela</w:t>
      </w:r>
    </w:p>
    <w:p w:rsidR="00000000" w:rsidRDefault="00FB75B8">
      <w:pPr>
        <w:pStyle w:val="Telobesedila"/>
        <w:kinsoku w:val="0"/>
        <w:overflowPunct w:val="0"/>
        <w:spacing w:before="4"/>
        <w:rPr>
          <w:b w:val="0"/>
          <w:bCs w:val="0"/>
          <w:sz w:val="5"/>
          <w:szCs w:val="5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85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0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spacing w:before="7"/>
              <w:rPr>
                <w:i/>
                <w:iCs/>
                <w:sz w:val="3"/>
                <w:szCs w:val="3"/>
              </w:rPr>
            </w:pPr>
          </w:p>
          <w:sdt>
            <w:sdtPr>
              <w:rPr>
                <w:position w:val="-4"/>
                <w:sz w:val="20"/>
                <w:szCs w:val="20"/>
              </w:rPr>
              <w:id w:val="1764262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0000" w:rsidRPr="001C0968" w:rsidRDefault="001C0968">
                <w:pPr>
                  <w:pStyle w:val="TableParagraph"/>
                  <w:kinsoku w:val="0"/>
                  <w:overflowPunct w:val="0"/>
                  <w:spacing w:line="179" w:lineRule="exact"/>
                  <w:ind w:left="141"/>
                  <w:rPr>
                    <w:position w:val="-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53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36"/>
              <w:ind w:left="27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statično ojačitev posameznega ali več posameznih konstrukci</w:t>
            </w:r>
            <w:r>
              <w:rPr>
                <w:b/>
                <w:bCs/>
                <w:i/>
                <w:iCs/>
                <w:sz w:val="17"/>
                <w:szCs w:val="17"/>
              </w:rPr>
              <w:t>jskih elementov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0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i/>
                <w:iCs/>
                <w:sz w:val="3"/>
                <w:szCs w:val="3"/>
              </w:rPr>
            </w:pPr>
          </w:p>
          <w:sdt>
            <w:sdtPr>
              <w:rPr>
                <w:position w:val="-4"/>
                <w:sz w:val="20"/>
                <w:szCs w:val="20"/>
              </w:rPr>
              <w:id w:val="274983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0000" w:rsidRPr="001C0968" w:rsidRDefault="001C0968">
                <w:pPr>
                  <w:pStyle w:val="TableParagraph"/>
                  <w:kinsoku w:val="0"/>
                  <w:overflowPunct w:val="0"/>
                  <w:spacing w:line="179" w:lineRule="exact"/>
                  <w:ind w:left="141"/>
                  <w:rPr>
                    <w:position w:val="-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53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36"/>
              <w:ind w:left="27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zamenjavo istovrstnih posameznih konstrukcijskih elementov (zamenjava ostrešja, delov medetažne konstrukcije, ipd.)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0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spacing w:before="5"/>
              <w:rPr>
                <w:i/>
                <w:iCs/>
                <w:sz w:val="2"/>
                <w:szCs w:val="2"/>
              </w:rPr>
            </w:pPr>
          </w:p>
          <w:sdt>
            <w:sdtPr>
              <w:rPr>
                <w:position w:val="-4"/>
                <w:sz w:val="20"/>
                <w:szCs w:val="20"/>
              </w:rPr>
              <w:id w:val="1444266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0000" w:rsidRPr="001C0968" w:rsidRDefault="001C0968">
                <w:pPr>
                  <w:pStyle w:val="TableParagraph"/>
                  <w:kinsoku w:val="0"/>
                  <w:overflowPunct w:val="0"/>
                  <w:spacing w:line="179" w:lineRule="exact"/>
                  <w:ind w:left="141"/>
                  <w:rPr>
                    <w:position w:val="-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53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36"/>
              <w:ind w:left="27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zamenjavo elementov javnega vodovo</w:t>
            </w:r>
            <w:r>
              <w:rPr>
                <w:b/>
                <w:bCs/>
                <w:i/>
                <w:iCs/>
                <w:sz w:val="17"/>
                <w:szCs w:val="17"/>
              </w:rPr>
              <w:t>da in javne kanalizacije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0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spacing w:before="7"/>
              <w:rPr>
                <w:i/>
                <w:iCs/>
                <w:sz w:val="3"/>
                <w:szCs w:val="3"/>
              </w:rPr>
            </w:pPr>
          </w:p>
          <w:sdt>
            <w:sdtPr>
              <w:rPr>
                <w:position w:val="-4"/>
                <w:sz w:val="20"/>
                <w:szCs w:val="20"/>
              </w:rPr>
              <w:id w:val="-1962333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0000" w:rsidRPr="001C0968" w:rsidRDefault="001C0968">
                <w:pPr>
                  <w:pStyle w:val="TableParagraph"/>
                  <w:kinsoku w:val="0"/>
                  <w:overflowPunct w:val="0"/>
                  <w:spacing w:line="179" w:lineRule="exact"/>
                  <w:ind w:left="141"/>
                  <w:rPr>
                    <w:position w:val="-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53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36"/>
              <w:ind w:left="27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dolbenje utorov in niš v nosilno konstrukcijo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50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spacing w:before="7"/>
              <w:rPr>
                <w:i/>
                <w:iCs/>
                <w:sz w:val="3"/>
                <w:szCs w:val="3"/>
              </w:rPr>
            </w:pPr>
          </w:p>
          <w:sdt>
            <w:sdtPr>
              <w:rPr>
                <w:position w:val="-4"/>
                <w:sz w:val="20"/>
                <w:szCs w:val="20"/>
              </w:rPr>
              <w:id w:val="-1688822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0000" w:rsidRPr="001C0968" w:rsidRDefault="001C0968">
                <w:pPr>
                  <w:pStyle w:val="TableParagraph"/>
                  <w:kinsoku w:val="0"/>
                  <w:overflowPunct w:val="0"/>
                  <w:spacing w:line="179" w:lineRule="exact"/>
                  <w:ind w:left="141"/>
                  <w:rPr>
                    <w:position w:val="-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53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56" w:line="266" w:lineRule="auto"/>
              <w:ind w:left="27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izvedbo odprtin in več</w:t>
            </w:r>
            <w:r>
              <w:rPr>
                <w:b/>
                <w:bCs/>
                <w:i/>
                <w:iCs/>
                <w:sz w:val="17"/>
                <w:szCs w:val="17"/>
              </w:rPr>
              <w:t>jih konstrukcijskih prebojev ter povečanje obstoječih odprtin v objektu, ki ne presegajo ene tretjine površine posameznega konstrukcijskega elementa in niso širši od 2 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0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spacing w:before="5"/>
              <w:rPr>
                <w:i/>
                <w:iCs/>
                <w:sz w:val="2"/>
                <w:szCs w:val="2"/>
              </w:rPr>
            </w:pPr>
          </w:p>
          <w:sdt>
            <w:sdtPr>
              <w:rPr>
                <w:position w:val="-4"/>
                <w:sz w:val="20"/>
                <w:szCs w:val="20"/>
              </w:rPr>
              <w:id w:val="-456253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0000" w:rsidRPr="001C0968" w:rsidRDefault="001C0968">
                <w:pPr>
                  <w:pStyle w:val="TableParagraph"/>
                  <w:kinsoku w:val="0"/>
                  <w:overflowPunct w:val="0"/>
                  <w:spacing w:line="179" w:lineRule="exact"/>
                  <w:ind w:left="141"/>
                  <w:rPr>
                    <w:position w:val="-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53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36"/>
              <w:ind w:left="27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povečanje obstoj</w:t>
            </w:r>
            <w:r>
              <w:rPr>
                <w:b/>
                <w:bCs/>
                <w:i/>
                <w:iCs/>
                <w:sz w:val="17"/>
                <w:szCs w:val="17"/>
              </w:rPr>
              <w:t>ečih prebojev fasade stavbe do 2 m; velikost povečanja odprtine ne presega ene tretjine površine fasade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0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4"/>
                <w:szCs w:val="4"/>
              </w:rPr>
            </w:pPr>
          </w:p>
          <w:sdt>
            <w:sdtPr>
              <w:rPr>
                <w:position w:val="-4"/>
                <w:sz w:val="20"/>
                <w:szCs w:val="20"/>
              </w:rPr>
              <w:id w:val="-46966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0000" w:rsidRPr="001C0968" w:rsidRDefault="001C0968">
                <w:pPr>
                  <w:pStyle w:val="TableParagraph"/>
                  <w:kinsoku w:val="0"/>
                  <w:overflowPunct w:val="0"/>
                  <w:spacing w:line="179" w:lineRule="exact"/>
                  <w:ind w:left="141"/>
                  <w:rPr>
                    <w:position w:val="-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53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34" w:line="266" w:lineRule="auto"/>
              <w:ind w:left="27" w:right="24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nov preboj fasade stavbe, pri čemer je ravnina fasade, na kateri se izvajajo preboji, oddaljena od meje zemljišča drugega lastnika več kot 2 m, velikost novih prebojev ne presega ene tretjine površine fasade in noben pre</w:t>
            </w:r>
            <w:r>
              <w:rPr>
                <w:b/>
                <w:bCs/>
                <w:i/>
                <w:iCs/>
                <w:sz w:val="17"/>
                <w:szCs w:val="17"/>
              </w:rPr>
              <w:t>boj ni širši od 2 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0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i/>
                <w:iCs/>
                <w:sz w:val="3"/>
                <w:szCs w:val="3"/>
              </w:rPr>
            </w:pPr>
          </w:p>
          <w:sdt>
            <w:sdtPr>
              <w:rPr>
                <w:position w:val="-4"/>
                <w:sz w:val="20"/>
                <w:szCs w:val="20"/>
              </w:rPr>
              <w:id w:val="-1543055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0000" w:rsidRPr="001C0968" w:rsidRDefault="001C0968">
                <w:pPr>
                  <w:pStyle w:val="TableParagraph"/>
                  <w:kinsoku w:val="0"/>
                  <w:overflowPunct w:val="0"/>
                  <w:spacing w:line="179" w:lineRule="exact"/>
                  <w:ind w:left="141"/>
                  <w:rPr>
                    <w:position w:val="-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53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36"/>
              <w:ind w:left="27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vgradnjo dvigala v notranjosti objekta, s katerim se posega v nosilno konstrukcijo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50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4"/>
                <w:szCs w:val="4"/>
              </w:rPr>
            </w:pPr>
          </w:p>
          <w:sdt>
            <w:sdtPr>
              <w:rPr>
                <w:position w:val="-4"/>
                <w:sz w:val="20"/>
                <w:szCs w:val="20"/>
              </w:rPr>
              <w:id w:val="-1921243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0000" w:rsidRPr="001C0968" w:rsidRDefault="001C0968">
                <w:pPr>
                  <w:pStyle w:val="TableParagraph"/>
                  <w:kinsoku w:val="0"/>
                  <w:overflowPunct w:val="0"/>
                  <w:spacing w:line="179" w:lineRule="exact"/>
                  <w:ind w:left="141"/>
                  <w:rPr>
                    <w:position w:val="-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53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25" w:line="266" w:lineRule="auto"/>
              <w:ind w:left="27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manjše povečanje prostornine, ki ne poveča bruto tlorisne površine objekta, ter pomeni izvedbo posameznih konstrukcijskih elementov na objektu (izvedba frčade, vsaj z dveh strani odprt nadstrešek na obstoječi pohodni str</w:t>
            </w:r>
            <w:r>
              <w:rPr>
                <w:b/>
                <w:bCs/>
                <w:i/>
                <w:iCs/>
                <w:sz w:val="17"/>
                <w:szCs w:val="17"/>
              </w:rPr>
              <w:t>ehi, dvig obodnega zidu pod poševno streho za višino horizontalne vezi za največ 0,3 m, ipd.)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0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i/>
                <w:iCs/>
                <w:sz w:val="3"/>
                <w:szCs w:val="3"/>
              </w:rPr>
            </w:pPr>
          </w:p>
          <w:sdt>
            <w:sdtPr>
              <w:rPr>
                <w:position w:val="-4"/>
                <w:sz w:val="20"/>
                <w:szCs w:val="20"/>
              </w:rPr>
              <w:id w:val="1096668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0000" w:rsidRPr="001C0968" w:rsidRDefault="001C0968">
                <w:pPr>
                  <w:pStyle w:val="TableParagraph"/>
                  <w:kinsoku w:val="0"/>
                  <w:overflowPunct w:val="0"/>
                  <w:spacing w:line="179" w:lineRule="exact"/>
                  <w:ind w:left="141"/>
                  <w:rPr>
                    <w:position w:val="-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53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36"/>
              <w:ind w:left="27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prizidavo nakladalnih ramp in klančin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50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i/>
                <w:iCs/>
                <w:sz w:val="3"/>
                <w:szCs w:val="3"/>
              </w:rPr>
            </w:pPr>
          </w:p>
          <w:sdt>
            <w:sdtPr>
              <w:rPr>
                <w:position w:val="-4"/>
                <w:sz w:val="20"/>
                <w:szCs w:val="20"/>
              </w:rPr>
              <w:id w:val="-1545680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0000" w:rsidRPr="001C0968" w:rsidRDefault="001C0968">
                <w:pPr>
                  <w:pStyle w:val="TableParagraph"/>
                  <w:kinsoku w:val="0"/>
                  <w:overflowPunct w:val="0"/>
                  <w:spacing w:line="179" w:lineRule="exact"/>
                  <w:ind w:left="141"/>
                  <w:rPr>
                    <w:position w:val="-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53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56"/>
              <w:ind w:left="27"/>
              <w:rPr>
                <w:b/>
                <w:bCs/>
                <w:i/>
                <w:iCs/>
                <w:sz w:val="17"/>
                <w:szCs w:val="17"/>
                <w:vertAlign w:val="superscript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 xml:space="preserve">izvedbo </w:t>
            </w:r>
            <w:proofErr w:type="spellStart"/>
            <w:r>
              <w:rPr>
                <w:b/>
                <w:bCs/>
                <w:i/>
                <w:iCs/>
                <w:sz w:val="17"/>
                <w:szCs w:val="17"/>
              </w:rPr>
              <w:t>nepohodnega</w:t>
            </w:r>
            <w:proofErr w:type="spellEnd"/>
            <w:r>
              <w:rPr>
                <w:b/>
                <w:bCs/>
                <w:i/>
                <w:iCs/>
                <w:sz w:val="17"/>
                <w:szCs w:val="17"/>
              </w:rPr>
              <w:t xml:space="preserve"> konzolnega nadstreška površine do 6 m </w:t>
            </w:r>
            <w:r>
              <w:rPr>
                <w:b/>
                <w:bCs/>
                <w:i/>
                <w:iCs/>
                <w:sz w:val="17"/>
                <w:szCs w:val="17"/>
                <w:vertAlign w:val="superscript"/>
              </w:rPr>
              <w:t>2</w:t>
            </w:r>
          </w:p>
        </w:tc>
      </w:tr>
    </w:tbl>
    <w:p w:rsidR="00000000" w:rsidRDefault="00FB75B8">
      <w:pPr>
        <w:pStyle w:val="Telobesedila"/>
        <w:kinsoku w:val="0"/>
        <w:overflowPunct w:val="0"/>
        <w:rPr>
          <w:b w:val="0"/>
          <w:bCs w:val="0"/>
          <w:sz w:val="18"/>
          <w:szCs w:val="18"/>
        </w:rPr>
      </w:pPr>
    </w:p>
    <w:p w:rsidR="00000000" w:rsidRDefault="00FB75B8">
      <w:pPr>
        <w:pStyle w:val="Telobesedila"/>
        <w:kinsoku w:val="0"/>
        <w:overflowPunct w:val="0"/>
        <w:spacing w:before="132" w:after="39"/>
        <w:ind w:left="665"/>
      </w:pPr>
      <w:r>
        <w:t>S KATERO SE NE BODO OGROŽALE ALI POSLABŠALE GRADBENOTEHNIČNE LASTNOSTI OBJEKTA.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6"/>
        <w:gridCol w:w="63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65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29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</w:t>
            </w:r>
          </w:p>
        </w:tc>
        <w:tc>
          <w:tcPr>
            <w:tcW w:w="63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</w:trPr>
        <w:tc>
          <w:tcPr>
            <w:tcW w:w="265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11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podpis pooblaščenega</w:t>
            </w:r>
          </w:p>
          <w:p w:rsidR="00000000" w:rsidRDefault="00FB75B8">
            <w:pPr>
              <w:pStyle w:val="TableParagraph"/>
              <w:kinsoku w:val="0"/>
              <w:overflowPunct w:val="0"/>
              <w:spacing w:before="24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strokovnjaka s področja gradbeništva</w:t>
            </w:r>
          </w:p>
        </w:tc>
        <w:tc>
          <w:tcPr>
            <w:tcW w:w="63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FB75B8">
      <w:pPr>
        <w:pStyle w:val="Telobesedila"/>
        <w:kinsoku w:val="0"/>
        <w:overflowPunct w:val="0"/>
        <w:spacing w:before="7"/>
        <w:rPr>
          <w:sz w:val="23"/>
          <w:szCs w:val="2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6"/>
        <w:gridCol w:w="63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</w:trPr>
        <w:tc>
          <w:tcPr>
            <w:tcW w:w="265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FB75B8">
            <w:pPr>
              <w:pStyle w:val="TableParagraph"/>
              <w:kinsoku w:val="0"/>
              <w:overflowPunct w:val="0"/>
              <w:spacing w:before="11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podpi</w:t>
            </w:r>
            <w:r>
              <w:rPr>
                <w:sz w:val="17"/>
                <w:szCs w:val="17"/>
              </w:rPr>
              <w:t>s odgovorne osebe</w:t>
            </w:r>
          </w:p>
        </w:tc>
        <w:tc>
          <w:tcPr>
            <w:tcW w:w="63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FB75B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FB75B8">
      <w:pPr>
        <w:rPr>
          <w:b/>
          <w:bCs/>
          <w:i/>
          <w:iCs/>
          <w:sz w:val="23"/>
          <w:szCs w:val="23"/>
        </w:rPr>
        <w:sectPr w:rsidR="00000000">
          <w:type w:val="continuous"/>
          <w:pgSz w:w="11910" w:h="16840"/>
          <w:pgMar w:top="1540" w:right="1480" w:bottom="280" w:left="1060" w:header="708" w:footer="708" w:gutter="0"/>
          <w:cols w:space="708"/>
          <w:noEndnote/>
        </w:sectPr>
      </w:pPr>
    </w:p>
    <w:p w:rsidR="00000000" w:rsidRDefault="00FB75B8">
      <w:pPr>
        <w:pStyle w:val="Telobesedila"/>
        <w:kinsoku w:val="0"/>
        <w:overflowPunct w:val="0"/>
        <w:spacing w:before="1"/>
        <w:rPr>
          <w:sz w:val="3"/>
          <w:szCs w:val="3"/>
        </w:rPr>
      </w:pPr>
    </w:p>
    <w:p w:rsidR="00000000" w:rsidRDefault="00473DC7">
      <w:pPr>
        <w:pStyle w:val="Telobesedila"/>
        <w:kinsoku w:val="0"/>
        <w:overflowPunct w:val="0"/>
        <w:spacing w:line="20" w:lineRule="exact"/>
        <w:ind w:left="94"/>
        <w:rPr>
          <w:b w:val="0"/>
          <w:bCs w:val="0"/>
          <w:i w:val="0"/>
          <w:iCs w:val="0"/>
          <w:sz w:val="2"/>
          <w:szCs w:val="2"/>
        </w:rPr>
      </w:pPr>
      <w:r>
        <w:rPr>
          <w:b w:val="0"/>
          <w:bCs w:val="0"/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11520" cy="12700"/>
                <wp:effectExtent l="8255" t="1270" r="9525" b="5080"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1520" cy="12700"/>
                          <a:chOff x="0" y="0"/>
                          <a:chExt cx="9152" cy="20"/>
                        </a:xfrm>
                      </wpg:grpSpPr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9152" cy="20"/>
                          </a:xfrm>
                          <a:custGeom>
                            <a:avLst/>
                            <a:gdLst>
                              <a:gd name="T0" fmla="*/ 0 w 9152"/>
                              <a:gd name="T1" fmla="*/ 0 h 20"/>
                              <a:gd name="T2" fmla="*/ 9151 w 91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52" h="20">
                                <a:moveTo>
                                  <a:pt x="0" y="0"/>
                                </a:moveTo>
                                <a:lnTo>
                                  <a:pt x="9151" y="0"/>
                                </a:lnTo>
                              </a:path>
                            </a:pathLst>
                          </a:custGeom>
                          <a:noFill/>
                          <a:ln w="11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4D9D5" id="Group 3" o:spid="_x0000_s1026" style="width:457.6pt;height:1pt;mso-position-horizontal-relative:char;mso-position-vertical-relative:line" coordsize="9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">
                <v:shape id="Freeform 4" o:spid="_x0000_s1027" style="position:absolute;top:9;width:9152;height:20;visibility:visible;mso-wrap-style:square;v-text-anchor:top" coordsize="91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" path="m,l9151,e" filled="f" strokeweight=".32242mm">
                  <v:path arrowok="t" o:connecttype="custom" o:connectlocs="0,0;9151,0" o:connectangles="0,0"/>
                </v:shape>
                <w10:anchorlock/>
              </v:group>
            </w:pict>
          </mc:Fallback>
        </mc:AlternateContent>
      </w:r>
    </w:p>
    <w:p w:rsidR="00000000" w:rsidRDefault="00FB75B8">
      <w:pPr>
        <w:pStyle w:val="Telobesedila"/>
        <w:kinsoku w:val="0"/>
        <w:overflowPunct w:val="0"/>
        <w:spacing w:before="18"/>
        <w:ind w:left="136"/>
        <w:rPr>
          <w:i w:val="0"/>
          <w:iCs w:val="0"/>
          <w:sz w:val="19"/>
          <w:szCs w:val="19"/>
        </w:rPr>
      </w:pPr>
      <w:r>
        <w:rPr>
          <w:i w:val="0"/>
          <w:iCs w:val="0"/>
          <w:sz w:val="19"/>
          <w:szCs w:val="19"/>
        </w:rPr>
        <w:t>PRILOGA</w:t>
      </w:r>
    </w:p>
    <w:p w:rsidR="00FB75B8" w:rsidRPr="00FB75B8" w:rsidRDefault="00FB75B8" w:rsidP="00FB75B8">
      <w:pPr>
        <w:pStyle w:val="Telobesedila"/>
        <w:pBdr>
          <w:top w:val="single" w:sz="4" w:space="1" w:color="auto"/>
          <w:bottom w:val="single" w:sz="4" w:space="1" w:color="auto"/>
        </w:pBdr>
        <w:kinsoku w:val="0"/>
        <w:overflowPunct w:val="0"/>
        <w:spacing w:before="20" w:after="20"/>
        <w:ind w:left="136"/>
        <w:rPr>
          <w:b w:val="0"/>
          <w:i w:val="0"/>
          <w:iCs w:val="0"/>
          <w:sz w:val="19"/>
          <w:szCs w:val="19"/>
        </w:rPr>
      </w:pPr>
      <w:sdt>
        <w:sdtPr>
          <w:rPr>
            <w:b w:val="0"/>
            <w:i w:val="0"/>
          </w:rPr>
          <w:id w:val="-1292054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>
        <w:rPr>
          <w:b w:val="0"/>
          <w:i w:val="0"/>
        </w:rPr>
        <w:t xml:space="preserve">   Grafični prikaz manjše rekonstrukcije (tloris, prerez ipd.)</w:t>
      </w:r>
      <w:bookmarkStart w:id="0" w:name="_GoBack"/>
      <w:bookmarkEnd w:id="0"/>
    </w:p>
    <w:sectPr w:rsidR="00FB75B8" w:rsidRPr="00FB75B8">
      <w:pgSz w:w="11910" w:h="16840"/>
      <w:pgMar w:top="1540" w:right="1480" w:bottom="280" w:left="10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F0"/>
    <w:rsid w:val="001C0968"/>
    <w:rsid w:val="00473DC7"/>
    <w:rsid w:val="00E531F0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4A724B2A"/>
  <w14:defaultImageDpi w14:val="0"/>
  <w15:docId w15:val="{DC313025-FBBD-46E6-AB03-113C9FCB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Naslov1">
    <w:name w:val="heading 1"/>
    <w:basedOn w:val="Navaden"/>
    <w:next w:val="Navaden"/>
    <w:link w:val="Naslov1Znak"/>
    <w:uiPriority w:val="1"/>
    <w:qFormat/>
    <w:pPr>
      <w:spacing w:before="16" w:after="42"/>
      <w:ind w:left="152"/>
      <w:outlineLvl w:val="0"/>
    </w:pPr>
    <w:rPr>
      <w:b/>
      <w:bC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Pr>
      <w:b/>
      <w:bCs/>
      <w:i/>
      <w:iCs/>
      <w:sz w:val="17"/>
      <w:szCs w:val="17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Arial Narrow" w:hAnsi="Arial Narrow" w:cs="Arial Narrow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Leban Lavriša Nataša</dc:creator>
  <cp:keywords/>
  <dc:description/>
  <cp:lastModifiedBy>Leban Lavriša Nataša</cp:lastModifiedBy>
  <cp:revision>4</cp:revision>
  <dcterms:created xsi:type="dcterms:W3CDTF">2023-05-05T08:55:00Z</dcterms:created>
  <dcterms:modified xsi:type="dcterms:W3CDTF">2023-05-05T09:04:00Z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(Windows)</vt:lpwstr>
  </property>
</Properties>
</file>