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2CF" w:rsidRDefault="00185995">
      <w:pPr>
        <w:pStyle w:val="Telobesedila"/>
        <w:kinsoku w:val="0"/>
        <w:overflowPunct w:val="0"/>
        <w:ind w:left="114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69965" cy="1321435"/>
                <wp:effectExtent l="0" t="0" r="0" b="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1321435"/>
                        </a:xfrm>
                        <a:prstGeom prst="rect">
                          <a:avLst/>
                        </a:prstGeom>
                        <a:solidFill>
                          <a:srgbClr val="FCE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2CF" w:rsidRDefault="00D519F7">
                            <w:pPr>
                              <w:pStyle w:val="Telobesedila"/>
                              <w:kinsoku w:val="0"/>
                              <w:overflowPunct w:val="0"/>
                              <w:spacing w:line="274" w:lineRule="exact"/>
                              <w:ind w:left="38"/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PRILOGA 20C</w:t>
                            </w:r>
                          </w:p>
                          <w:p w:rsidR="006672CF" w:rsidRDefault="00D519F7">
                            <w:pPr>
                              <w:pStyle w:val="Telobesedila"/>
                              <w:kinsoku w:val="0"/>
                              <w:overflowPunct w:val="0"/>
                              <w:spacing w:before="172"/>
                              <w:ind w:left="48"/>
                              <w:rPr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ZAHTEVA ZA SOGLASJE OBČINE</w:t>
                            </w:r>
                          </w:p>
                          <w:p w:rsidR="006672CF" w:rsidRDefault="00D519F7">
                            <w:pPr>
                              <w:pStyle w:val="Telobesedila"/>
                              <w:kinsoku w:val="0"/>
                              <w:overflowPunct w:val="0"/>
                              <w:spacing w:before="22" w:line="254" w:lineRule="auto"/>
                              <w:ind w:left="48" w:right="3000"/>
                              <w:rPr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GLEDE SKLADNOSTI MANJŠE REKONSTRUKCIJE S PROSTORSKIM AKTOM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7.95pt;height:10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" fillcolor="#fce8d8" stroked="f">
                <v:textbox inset="0,0,0,0">
                  <w:txbxContent>
                    <w:p w:rsidR="006672CF" w:rsidRDefault="00D519F7">
                      <w:pPr>
                        <w:pStyle w:val="Telobesedila"/>
                        <w:kinsoku w:val="0"/>
                        <w:overflowPunct w:val="0"/>
                        <w:spacing w:line="274" w:lineRule="exact"/>
                        <w:ind w:left="38"/>
                        <w:rPr>
                          <w:i w:val="0"/>
                          <w:iCs w:val="0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PRILOGA 20C</w:t>
                      </w:r>
                    </w:p>
                    <w:p w:rsidR="006672CF" w:rsidRDefault="00D519F7">
                      <w:pPr>
                        <w:pStyle w:val="Telobesedila"/>
                        <w:kinsoku w:val="0"/>
                        <w:overflowPunct w:val="0"/>
                        <w:spacing w:before="172"/>
                        <w:ind w:left="48"/>
                        <w:rPr>
                          <w:i w:val="0"/>
                          <w:iCs w:val="0"/>
                          <w:sz w:val="32"/>
                          <w:szCs w:val="32"/>
                        </w:rPr>
                      </w:pPr>
                      <w:r>
                        <w:rPr>
                          <w:i w:val="0"/>
                          <w:iCs w:val="0"/>
                          <w:sz w:val="32"/>
                          <w:szCs w:val="32"/>
                        </w:rPr>
                        <w:t>ZAHTEVA ZA SOGLASJE OBČINE</w:t>
                      </w:r>
                    </w:p>
                    <w:p w:rsidR="006672CF" w:rsidRDefault="00D519F7">
                      <w:pPr>
                        <w:pStyle w:val="Telobesedila"/>
                        <w:kinsoku w:val="0"/>
                        <w:overflowPunct w:val="0"/>
                        <w:spacing w:before="22" w:line="254" w:lineRule="auto"/>
                        <w:ind w:left="48" w:right="3000"/>
                        <w:rPr>
                          <w:i w:val="0"/>
                          <w:iCs w:val="0"/>
                          <w:sz w:val="32"/>
                          <w:szCs w:val="32"/>
                        </w:rPr>
                      </w:pPr>
                      <w:r>
                        <w:rPr>
                          <w:i w:val="0"/>
                          <w:iCs w:val="0"/>
                          <w:sz w:val="32"/>
                          <w:szCs w:val="32"/>
                        </w:rPr>
                        <w:t>GLEDE SKLADNOSTI MANJŠE REKONSTRUKCIJE S PROSTORSKIM AKTOM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672CF" w:rsidRDefault="006672CF">
      <w:pPr>
        <w:pStyle w:val="Telobesedila"/>
        <w:kinsoku w:val="0"/>
        <w:overflowPunct w:val="0"/>
        <w:rPr>
          <w:rFonts w:ascii="Times New Roman" w:hAnsi="Times New Roman" w:cs="Times New Roman"/>
          <w:b w:val="0"/>
          <w:bCs w:val="0"/>
          <w:i w:val="0"/>
          <w:iCs w:val="0"/>
          <w:sz w:val="25"/>
          <w:szCs w:val="2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6739"/>
      </w:tblGrid>
      <w:tr w:rsidR="006672CF">
        <w:trPr>
          <w:trHeight w:val="279"/>
        </w:trPr>
        <w:tc>
          <w:tcPr>
            <w:tcW w:w="9559" w:type="dxa"/>
            <w:gridSpan w:val="2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E8D8"/>
          </w:tcPr>
          <w:p w:rsidR="006672CF" w:rsidRDefault="00D519F7">
            <w:pPr>
              <w:pStyle w:val="TableParagraph"/>
              <w:kinsoku w:val="0"/>
              <w:overflowPunct w:val="0"/>
              <w:spacing w:before="18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PODATKI O INVESTITORJU, OBJEKTU IN ZEMLJIŠČIH</w:t>
            </w:r>
          </w:p>
        </w:tc>
      </w:tr>
      <w:tr w:rsidR="006672CF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6672CF" w:rsidRDefault="00D519F7">
            <w:pPr>
              <w:pStyle w:val="TableParagraph"/>
              <w:kinsoku w:val="0"/>
              <w:overflowPunct w:val="0"/>
              <w:spacing w:before="41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in priimek ali naziv družbe</w:t>
            </w:r>
          </w:p>
        </w:tc>
        <w:tc>
          <w:tcPr>
            <w:tcW w:w="673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6672CF" w:rsidRDefault="006672C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2CF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6672CF" w:rsidRDefault="00D519F7">
            <w:pPr>
              <w:pStyle w:val="TableParagraph"/>
              <w:kinsoku w:val="0"/>
              <w:overflowPunct w:val="0"/>
              <w:spacing w:before="41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 ali sedež družbe</w:t>
            </w:r>
          </w:p>
        </w:tc>
        <w:tc>
          <w:tcPr>
            <w:tcW w:w="673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6672CF" w:rsidRDefault="006672C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2CF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6672CF" w:rsidRDefault="00D519F7">
            <w:pPr>
              <w:pStyle w:val="TableParagraph"/>
              <w:kinsoku w:val="0"/>
              <w:overflowPunct w:val="0"/>
              <w:spacing w:before="41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davčna številka</w:t>
            </w:r>
          </w:p>
        </w:tc>
        <w:tc>
          <w:tcPr>
            <w:tcW w:w="673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6672CF" w:rsidRDefault="006672C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2CF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6672CF" w:rsidRDefault="00D519F7">
            <w:pPr>
              <w:pStyle w:val="TableParagraph"/>
              <w:kinsoku w:val="0"/>
              <w:overflowPunct w:val="0"/>
              <w:spacing w:before="41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telefonska številka</w:t>
            </w:r>
          </w:p>
        </w:tc>
        <w:tc>
          <w:tcPr>
            <w:tcW w:w="673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6672CF" w:rsidRDefault="006672C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2CF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6672CF" w:rsidRDefault="00D519F7">
            <w:pPr>
              <w:pStyle w:val="TableParagraph"/>
              <w:kinsoku w:val="0"/>
              <w:overflowPunct w:val="0"/>
              <w:spacing w:before="41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elektronski naslov</w:t>
            </w:r>
          </w:p>
        </w:tc>
        <w:tc>
          <w:tcPr>
            <w:tcW w:w="673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6672CF" w:rsidRDefault="006672C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2CF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6672CF" w:rsidRDefault="00D519F7">
            <w:pPr>
              <w:pStyle w:val="TableParagraph"/>
              <w:kinsoku w:val="0"/>
              <w:overflowPunct w:val="0"/>
              <w:spacing w:before="41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objekta</w:t>
            </w:r>
          </w:p>
        </w:tc>
        <w:tc>
          <w:tcPr>
            <w:tcW w:w="673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6672CF" w:rsidRDefault="006672C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2CF">
        <w:trPr>
          <w:trHeight w:val="276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6672CF" w:rsidRDefault="00D519F7">
            <w:pPr>
              <w:pStyle w:val="TableParagraph"/>
              <w:kinsoku w:val="0"/>
              <w:overflowPunct w:val="0"/>
              <w:spacing w:before="41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 objekta</w:t>
            </w:r>
          </w:p>
        </w:tc>
        <w:tc>
          <w:tcPr>
            <w:tcW w:w="6739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  <w:shd w:val="clear" w:color="auto" w:fill="FCF9CD"/>
          </w:tcPr>
          <w:p w:rsidR="006672CF" w:rsidRDefault="006672C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2CF">
        <w:trPr>
          <w:trHeight w:val="279"/>
        </w:trPr>
        <w:tc>
          <w:tcPr>
            <w:tcW w:w="9559" w:type="dxa"/>
            <w:gridSpan w:val="2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E8D8"/>
          </w:tcPr>
          <w:p w:rsidR="006672CF" w:rsidRDefault="00D519F7">
            <w:pPr>
              <w:pStyle w:val="TableParagraph"/>
              <w:kinsoku w:val="0"/>
              <w:overflowPunct w:val="0"/>
              <w:spacing w:before="18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OBČINA</w:t>
            </w:r>
          </w:p>
        </w:tc>
      </w:tr>
      <w:tr w:rsidR="006672CF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6672CF" w:rsidRDefault="00D519F7">
            <w:pPr>
              <w:pStyle w:val="TableParagraph"/>
              <w:kinsoku w:val="0"/>
              <w:overflowPunct w:val="0"/>
              <w:spacing w:before="41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občine</w:t>
            </w:r>
          </w:p>
        </w:tc>
        <w:tc>
          <w:tcPr>
            <w:tcW w:w="673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6672CF" w:rsidRDefault="006672C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2CF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6672CF" w:rsidRDefault="00D519F7">
            <w:pPr>
              <w:pStyle w:val="TableParagraph"/>
              <w:kinsoku w:val="0"/>
              <w:overflowPunct w:val="0"/>
              <w:spacing w:before="41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</w:t>
            </w:r>
          </w:p>
        </w:tc>
        <w:tc>
          <w:tcPr>
            <w:tcW w:w="673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6672CF" w:rsidRDefault="006672C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72CF" w:rsidRDefault="006672CF">
      <w:pPr>
        <w:pStyle w:val="Telobesedila"/>
        <w:kinsoku w:val="0"/>
        <w:overflowPunct w:val="0"/>
        <w:spacing w:before="9"/>
        <w:rPr>
          <w:rFonts w:ascii="Times New Roman" w:hAnsi="Times New Roman" w:cs="Times New Roman"/>
          <w:b w:val="0"/>
          <w:bCs w:val="0"/>
          <w:i w:val="0"/>
          <w:iCs w:val="0"/>
          <w:sz w:val="23"/>
          <w:szCs w:val="23"/>
        </w:rPr>
      </w:pPr>
    </w:p>
    <w:p w:rsidR="006672CF" w:rsidRDefault="00D519F7">
      <w:pPr>
        <w:pStyle w:val="Telobesedila"/>
        <w:kinsoku w:val="0"/>
        <w:overflowPunct w:val="0"/>
        <w:spacing w:before="100"/>
        <w:ind w:left="2965"/>
      </w:pPr>
      <w:r>
        <w:t>IZJAVLJAM, DA NAČRTOVANA MANJŠA REKONSTRUKCIJA PREDSTAVLJA:</w:t>
      </w:r>
    </w:p>
    <w:p w:rsidR="006672CF" w:rsidRDefault="00D519F7">
      <w:pPr>
        <w:pStyle w:val="Telobesedila"/>
        <w:kinsoku w:val="0"/>
        <w:overflowPunct w:val="0"/>
        <w:spacing w:before="112" w:after="51"/>
        <w:ind w:left="2965"/>
        <w:rPr>
          <w:b w:val="0"/>
          <w:bCs w:val="0"/>
          <w:color w:val="949698"/>
        </w:rPr>
      </w:pPr>
      <w:r>
        <w:rPr>
          <w:b w:val="0"/>
          <w:bCs w:val="0"/>
          <w:color w:val="949698"/>
        </w:rPr>
        <w:t>označiti vsa ustrezna dela</w:t>
      </w:r>
    </w:p>
    <w:tbl>
      <w:tblPr>
        <w:tblW w:w="0" w:type="auto"/>
        <w:tblInd w:w="2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6736"/>
      </w:tblGrid>
      <w:tr w:rsidR="006672CF" w:rsidTr="00C41591">
        <w:trPr>
          <w:trHeight w:val="1039"/>
        </w:trPr>
        <w:tc>
          <w:tcPr>
            <w:tcW w:w="54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auto"/>
          </w:tcPr>
          <w:p w:rsidR="006672CF" w:rsidRPr="00217116" w:rsidRDefault="00217116" w:rsidP="00217116">
            <w:pPr>
              <w:pStyle w:val="TableParagraph"/>
            </w:pPr>
            <w:r>
              <w:t xml:space="preserve"> </w:t>
            </w:r>
            <w:sdt>
              <w:sdtPr>
                <w:id w:val="-1430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73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6672CF" w:rsidRDefault="00D519F7">
            <w:pPr>
              <w:pStyle w:val="TableParagraph"/>
              <w:kinsoku w:val="0"/>
              <w:overflowPunct w:val="0"/>
              <w:spacing w:before="70" w:line="268" w:lineRule="auto"/>
              <w:ind w:left="29" w:right="74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manjše povečanje prostornine, ki ne poveča bruto tlorisne površine objekta, ter pomeni izvedbo posameznih konstrukcijskih elementov na objektu (izvedba frčade, vsaj z dveh strani odprt nadstrešek na obstoječi pohodni strehi, dvig obodnega zidu pod poševno streho za višino horizontalne vezi za največ 0,3 m, ipd.)</w:t>
            </w:r>
          </w:p>
        </w:tc>
      </w:tr>
      <w:tr w:rsidR="006672CF" w:rsidTr="00C41591">
        <w:trPr>
          <w:trHeight w:val="314"/>
        </w:trPr>
        <w:tc>
          <w:tcPr>
            <w:tcW w:w="54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auto"/>
          </w:tcPr>
          <w:p w:rsidR="006672CF" w:rsidRPr="00217116" w:rsidRDefault="00217116" w:rsidP="00217116">
            <w:pPr>
              <w:pStyle w:val="TableParagraph"/>
            </w:pPr>
            <w:r>
              <w:t xml:space="preserve"> </w:t>
            </w:r>
            <w:sdt>
              <w:sdtPr>
                <w:id w:val="-201205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73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6672CF" w:rsidRDefault="00D519F7">
            <w:pPr>
              <w:pStyle w:val="TableParagraph"/>
              <w:kinsoku w:val="0"/>
              <w:overflowPunct w:val="0"/>
              <w:spacing w:before="53"/>
              <w:ind w:left="29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prizidavo nakladalnih ramp in klančin</w:t>
            </w:r>
          </w:p>
        </w:tc>
      </w:tr>
      <w:tr w:rsidR="006672CF" w:rsidTr="00C41591">
        <w:trPr>
          <w:trHeight w:val="314"/>
        </w:trPr>
        <w:tc>
          <w:tcPr>
            <w:tcW w:w="54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auto"/>
          </w:tcPr>
          <w:p w:rsidR="006672CF" w:rsidRPr="00217116" w:rsidRDefault="00217116" w:rsidP="00217116">
            <w:pPr>
              <w:pStyle w:val="TableParagraph"/>
            </w:pPr>
            <w:r>
              <w:t xml:space="preserve"> </w:t>
            </w:r>
            <w:sdt>
              <w:sdtPr>
                <w:id w:val="-135934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73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6672CF" w:rsidRDefault="00D519F7">
            <w:pPr>
              <w:pStyle w:val="TableParagraph"/>
              <w:kinsoku w:val="0"/>
              <w:overflowPunct w:val="0"/>
              <w:spacing w:before="68"/>
              <w:ind w:left="29"/>
              <w:rPr>
                <w:b/>
                <w:bCs/>
                <w:i/>
                <w:iCs/>
                <w:sz w:val="18"/>
                <w:szCs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izvedbo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nepohodnega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 konzolnega nadstreška površine do 6 m </w:t>
            </w:r>
            <w:r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</w:tr>
      <w:tr w:rsidR="006672CF" w:rsidTr="00C41591">
        <w:trPr>
          <w:trHeight w:val="777"/>
        </w:trPr>
        <w:tc>
          <w:tcPr>
            <w:tcW w:w="54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auto"/>
          </w:tcPr>
          <w:p w:rsidR="006672CF" w:rsidRPr="00217116" w:rsidRDefault="00217116" w:rsidP="00217116">
            <w:pPr>
              <w:pStyle w:val="TableParagraph"/>
            </w:pPr>
            <w:r>
              <w:t xml:space="preserve"> </w:t>
            </w:r>
            <w:sdt>
              <w:sdtPr>
                <w:id w:val="-83606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9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73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6672CF" w:rsidRDefault="00D519F7">
            <w:pPr>
              <w:pStyle w:val="TableParagraph"/>
              <w:kinsoku w:val="0"/>
              <w:overflowPunct w:val="0"/>
              <w:spacing w:before="171" w:line="268" w:lineRule="auto"/>
              <w:ind w:left="29" w:right="74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prizidavo zunanjega odprtega stopnišča ali dvigala, ki ne povezuje več kot treh etaž in je zunanji rob stopnišča ali dvigala oddaljen od sosednjega objekta drugega lastnika več kot 4 m</w:t>
            </w:r>
          </w:p>
        </w:tc>
      </w:tr>
    </w:tbl>
    <w:p w:rsidR="006672CF" w:rsidRDefault="006672CF">
      <w:pPr>
        <w:pStyle w:val="Telobesedila"/>
        <w:kinsoku w:val="0"/>
        <w:overflowPunct w:val="0"/>
        <w:spacing w:before="9"/>
        <w:rPr>
          <w:b w:val="0"/>
          <w:bCs w:val="0"/>
          <w:sz w:val="28"/>
          <w:szCs w:val="28"/>
        </w:rPr>
      </w:pPr>
    </w:p>
    <w:p w:rsidR="006672CF" w:rsidRDefault="00D519F7">
      <w:pPr>
        <w:pStyle w:val="Telobesedila"/>
        <w:kinsoku w:val="0"/>
        <w:overflowPunct w:val="0"/>
        <w:spacing w:line="268" w:lineRule="auto"/>
        <w:ind w:left="2965" w:right="112"/>
      </w:pPr>
      <w:r>
        <w:t>IN ZAPROŠAM ZA IZDAJO SOGLASJA OBČINE GLEDE SKLADNOSTI Z VELJAVNIM OBČINSKIM PROSTORSKIM AKTOM.</w:t>
      </w:r>
    </w:p>
    <w:p w:rsidR="006672CF" w:rsidRDefault="006672CF">
      <w:pPr>
        <w:pStyle w:val="Telobesedila"/>
        <w:kinsoku w:val="0"/>
        <w:overflowPunct w:val="0"/>
        <w:spacing w:before="1"/>
        <w:rPr>
          <w:sz w:val="29"/>
          <w:szCs w:val="2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6739"/>
      </w:tblGrid>
      <w:tr w:rsidR="006672CF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6672CF" w:rsidRDefault="00D519F7">
            <w:pPr>
              <w:pStyle w:val="TableParagraph"/>
              <w:kinsoku w:val="0"/>
              <w:overflowPunct w:val="0"/>
              <w:spacing w:before="41"/>
              <w:ind w:lef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673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6672CF" w:rsidRDefault="006672C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2CF">
        <w:trPr>
          <w:trHeight w:val="1094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6672CF" w:rsidRDefault="00D519F7">
            <w:pPr>
              <w:pStyle w:val="TableParagraph"/>
              <w:kinsoku w:val="0"/>
              <w:overflowPunct w:val="0"/>
              <w:spacing w:before="12"/>
              <w:ind w:lef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vložnika</w:t>
            </w:r>
          </w:p>
        </w:tc>
        <w:tc>
          <w:tcPr>
            <w:tcW w:w="673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6672CF" w:rsidRDefault="006672CF" w:rsidP="00D519F7">
            <w:pPr>
              <w:pStyle w:val="TableParagraph"/>
              <w:kinsoku w:val="0"/>
              <w:overflowPunct w:val="0"/>
              <w:ind w:right="-2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72CF" w:rsidRDefault="00185995">
      <w:pPr>
        <w:pStyle w:val="Telobesedila"/>
        <w:kinsoku w:val="0"/>
        <w:overflowPunct w:val="0"/>
        <w:spacing w:before="8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175895</wp:posOffset>
                </wp:positionV>
                <wp:extent cx="6069965" cy="12700"/>
                <wp:effectExtent l="0" t="0" r="0" b="0"/>
                <wp:wrapTopAndBottom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12700"/>
                          <a:chOff x="1154" y="277"/>
                          <a:chExt cx="9559" cy="2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5" y="279"/>
                            <a:ext cx="9556" cy="20"/>
                          </a:xfrm>
                          <a:custGeom>
                            <a:avLst/>
                            <a:gdLst>
                              <a:gd name="T0" fmla="*/ 0 w 9556"/>
                              <a:gd name="T1" fmla="*/ 0 h 20"/>
                              <a:gd name="T2" fmla="*/ 9555 w 95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6" h="20">
                                <a:moveTo>
                                  <a:pt x="0" y="0"/>
                                </a:moveTo>
                                <a:lnTo>
                                  <a:pt x="9555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54" y="287"/>
                            <a:ext cx="9559" cy="20"/>
                          </a:xfrm>
                          <a:custGeom>
                            <a:avLst/>
                            <a:gdLst>
                              <a:gd name="T0" fmla="*/ 0 w 9559"/>
                              <a:gd name="T1" fmla="*/ 0 h 20"/>
                              <a:gd name="T2" fmla="*/ 9558 w 95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9" h="20">
                                <a:moveTo>
                                  <a:pt x="0" y="0"/>
                                </a:moveTo>
                                <a:lnTo>
                                  <a:pt x="9558" y="0"/>
                                </a:lnTo>
                              </a:path>
                            </a:pathLst>
                          </a:custGeom>
                          <a:noFill/>
                          <a:ln w="121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5BD0E" id="Group 6" o:spid="_x0000_s1026" style="position:absolute;margin-left:57.7pt;margin-top:13.85pt;width:477.95pt;height:1pt;z-index:251656704;mso-wrap-distance-left:0;mso-wrap-distance-right:0;mso-position-horizontal-relative:page" coordorigin="1154,277" coordsize="95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" o:allowincell="f">
                <v:shape id="Freeform 7" o:spid="_x0000_s1027" style="position:absolute;left:1155;top:279;width:9556;height:20;visibility:visible;mso-wrap-style:square;v-text-anchor:top" coordsize="95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" path="m,l9555,e" filled="f" strokeweight=".14pt">
                  <v:path arrowok="t" o:connecttype="custom" o:connectlocs="0,0;9555,0" o:connectangles="0,0"/>
                </v:shape>
                <v:shape id="Freeform 8" o:spid="_x0000_s1028" style="position:absolute;left:1154;top:287;width:9559;height:20;visibility:visible;mso-wrap-style:square;v-text-anchor:top" coordsize="95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" path="m,l9558,e" filled="f" strokeweight=".33794mm">
                  <v:path arrowok="t" o:connecttype="custom" o:connectlocs="0,0;9558,0" o:connectangles="0,0"/>
                </v:shape>
                <w10:wrap type="topAndBottom" anchorx="page"/>
              </v:group>
            </w:pict>
          </mc:Fallback>
        </mc:AlternateContent>
      </w:r>
    </w:p>
    <w:p w:rsidR="006672CF" w:rsidRDefault="00D519F7">
      <w:pPr>
        <w:pStyle w:val="Telobesedila"/>
        <w:kinsoku w:val="0"/>
        <w:overflowPunct w:val="0"/>
        <w:spacing w:after="32"/>
        <w:ind w:left="148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PRILOGA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550"/>
        <w:gridCol w:w="6737"/>
      </w:tblGrid>
      <w:tr w:rsidR="006672CF">
        <w:trPr>
          <w:trHeight w:val="515"/>
        </w:trPr>
        <w:tc>
          <w:tcPr>
            <w:tcW w:w="2273" w:type="dxa"/>
            <w:vMerge w:val="restart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72CF" w:rsidRDefault="006672C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sdt>
          <w:sdtPr>
            <w:rPr>
              <w:sz w:val="20"/>
              <w:szCs w:val="20"/>
            </w:rPr>
            <w:id w:val="155874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single" w:sz="2" w:space="0" w:color="000000"/>
                  <w:left w:val="none" w:sz="6" w:space="0" w:color="auto"/>
                  <w:bottom w:val="single" w:sz="2" w:space="0" w:color="000000"/>
                  <w:right w:val="none" w:sz="6" w:space="0" w:color="auto"/>
                </w:tcBorders>
                <w:shd w:val="clear" w:color="auto" w:fill="FCF9CD"/>
              </w:tcPr>
              <w:p w:rsidR="006672CF" w:rsidRDefault="00D519F7">
                <w:pPr>
                  <w:pStyle w:val="TableParagraph"/>
                  <w:kinsoku w:val="0"/>
                  <w:overflowPunct w:val="0"/>
                  <w:ind w:left="149" w:right="-29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7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6672CF" w:rsidRDefault="00D519F7">
            <w:pPr>
              <w:pStyle w:val="TableParagraph"/>
              <w:kinsoku w:val="0"/>
              <w:overflowPunct w:val="0"/>
              <w:spacing w:before="15" w:line="230" w:lineRule="atLeast"/>
              <w:ind w:lef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PRILOGA 20A: Mnenje pooblaščenega strokovnjaka s področja gradbeništva z grafičnim oziroma tekstualnim prikazom manjše rekonstrukcije (tloris, prerez ipd.)</w:t>
            </w:r>
          </w:p>
        </w:tc>
      </w:tr>
      <w:tr w:rsidR="006672CF">
        <w:trPr>
          <w:trHeight w:val="561"/>
        </w:trPr>
        <w:tc>
          <w:tcPr>
            <w:tcW w:w="227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72CF" w:rsidRDefault="006672CF">
            <w:pPr>
              <w:pStyle w:val="Telobesedila"/>
              <w:kinsoku w:val="0"/>
              <w:overflowPunct w:val="0"/>
              <w:spacing w:after="32"/>
              <w:ind w:left="148"/>
              <w:rPr>
                <w:i w:val="0"/>
                <w:iCs w:val="0"/>
                <w:sz w:val="2"/>
                <w:szCs w:val="2"/>
              </w:rPr>
            </w:pPr>
          </w:p>
        </w:tc>
        <w:sdt>
          <w:sdtPr>
            <w:rPr>
              <w:sz w:val="20"/>
              <w:szCs w:val="20"/>
            </w:rPr>
            <w:id w:val="122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single" w:sz="2" w:space="0" w:color="000000"/>
                  <w:left w:val="none" w:sz="6" w:space="0" w:color="auto"/>
                  <w:bottom w:val="single" w:sz="2" w:space="0" w:color="000000"/>
                  <w:right w:val="none" w:sz="6" w:space="0" w:color="auto"/>
                </w:tcBorders>
                <w:shd w:val="clear" w:color="auto" w:fill="FCF9CD"/>
              </w:tcPr>
              <w:p w:rsidR="006672CF" w:rsidRDefault="00C41591">
                <w:pPr>
                  <w:pStyle w:val="TableParagraph"/>
                  <w:kinsoku w:val="0"/>
                  <w:overflowPunct w:val="0"/>
                  <w:ind w:left="149" w:right="-44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7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6672CF" w:rsidRDefault="00D519F7">
            <w:pPr>
              <w:pStyle w:val="TableParagraph"/>
              <w:kinsoku w:val="0"/>
              <w:overflowPunct w:val="0"/>
              <w:spacing w:before="62" w:line="271" w:lineRule="auto"/>
              <w:ind w:lef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PRILOGA 20B: Mnenje pooblaščenega strokovnjaka s področja gradbeništva in pooblaščenega arhitekta z grafičnim oziroma tekstualnim prikazom manjše rekonstrukcije (tloris, prerez ipd.)</w:t>
            </w:r>
          </w:p>
        </w:tc>
      </w:tr>
    </w:tbl>
    <w:p w:rsidR="009D19EF" w:rsidRDefault="009D19EF" w:rsidP="00751108">
      <w:pPr>
        <w:pStyle w:val="TableParagraph"/>
      </w:pPr>
    </w:p>
    <w:p w:rsidR="009D19EF" w:rsidRDefault="009D19EF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br w:type="page"/>
      </w:r>
    </w:p>
    <w:p w:rsidR="009D19EF" w:rsidRPr="00995ABE" w:rsidRDefault="009D19EF" w:rsidP="009D19EF">
      <w:pPr>
        <w:pStyle w:val="Telobesedila-zamik"/>
        <w:ind w:left="0"/>
        <w:jc w:val="both"/>
        <w:rPr>
          <w:rFonts w:ascii="Arial" w:hAnsi="Arial" w:cs="Arial"/>
          <w:b/>
          <w:sz w:val="18"/>
          <w:szCs w:val="18"/>
        </w:rPr>
      </w:pPr>
      <w:r w:rsidRPr="00995ABE">
        <w:rPr>
          <w:rFonts w:ascii="Arial" w:hAnsi="Arial" w:cs="Arial"/>
          <w:sz w:val="18"/>
          <w:szCs w:val="18"/>
        </w:rPr>
        <w:lastRenderedPageBreak/>
        <w:t>Po Zakon</w:t>
      </w:r>
      <w:r>
        <w:rPr>
          <w:rFonts w:ascii="Arial" w:hAnsi="Arial" w:cs="Arial"/>
          <w:sz w:val="18"/>
          <w:szCs w:val="18"/>
        </w:rPr>
        <w:t>u</w:t>
      </w:r>
      <w:r w:rsidRPr="00995ABE">
        <w:rPr>
          <w:rFonts w:ascii="Arial" w:hAnsi="Arial" w:cs="Arial"/>
          <w:sz w:val="18"/>
          <w:szCs w:val="18"/>
        </w:rPr>
        <w:t xml:space="preserve"> o urejanju prostora (</w:t>
      </w:r>
      <w:r w:rsidRPr="00F32807">
        <w:rPr>
          <w:rFonts w:ascii="Arial" w:hAnsi="Arial" w:cs="Arial"/>
          <w:sz w:val="18"/>
          <w:szCs w:val="18"/>
        </w:rPr>
        <w:t>Uradni list RS, št. 199/21, 18/23 – ZDU-1O, 78/23 – ZUNPEOVE in 95/23 – ZIUOPZP</w:t>
      </w:r>
      <w:r w:rsidRPr="00995ABE">
        <w:rPr>
          <w:rFonts w:ascii="Arial" w:hAnsi="Arial" w:cs="Arial"/>
          <w:sz w:val="18"/>
          <w:szCs w:val="18"/>
        </w:rPr>
        <w:t>; v nadaljevanju ZUreP-3) in Zakonu o upravnih taksah (</w:t>
      </w:r>
      <w:r w:rsidRPr="00F32807">
        <w:rPr>
          <w:rFonts w:ascii="Arial" w:hAnsi="Arial" w:cs="Arial"/>
          <w:sz w:val="18"/>
          <w:szCs w:val="18"/>
        </w:rPr>
        <w:t xml:space="preserve">Uradni list RS, št. 106/10 – uradno prečiščeno besedilo, 14/15 – ZUUJFO, 84/15 – ZZelP-J, 32/16, 30/18 – </w:t>
      </w:r>
      <w:proofErr w:type="spellStart"/>
      <w:r w:rsidRPr="00F32807">
        <w:rPr>
          <w:rFonts w:ascii="Arial" w:hAnsi="Arial" w:cs="Arial"/>
          <w:sz w:val="18"/>
          <w:szCs w:val="18"/>
        </w:rPr>
        <w:t>ZKZaš</w:t>
      </w:r>
      <w:proofErr w:type="spellEnd"/>
      <w:r w:rsidRPr="00F32807">
        <w:rPr>
          <w:rFonts w:ascii="Arial" w:hAnsi="Arial" w:cs="Arial"/>
          <w:sz w:val="18"/>
          <w:szCs w:val="18"/>
        </w:rPr>
        <w:t xml:space="preserve"> in 189/20 – ZFRO</w:t>
      </w:r>
      <w:r w:rsidRPr="00995ABE">
        <w:rPr>
          <w:rFonts w:ascii="Arial" w:hAnsi="Arial" w:cs="Arial"/>
          <w:sz w:val="18"/>
          <w:szCs w:val="18"/>
        </w:rPr>
        <w:t xml:space="preserve">; v nadaljevanju: ZUT) je treba za </w:t>
      </w:r>
      <w:bookmarkStart w:id="0" w:name="_Hlk156389199"/>
      <w:r>
        <w:rPr>
          <w:rFonts w:ascii="Arial" w:hAnsi="Arial" w:cs="Arial"/>
          <w:sz w:val="18"/>
          <w:szCs w:val="18"/>
        </w:rPr>
        <w:t>Z</w:t>
      </w:r>
      <w:r w:rsidRPr="009D19EF">
        <w:rPr>
          <w:rFonts w:ascii="Arial" w:hAnsi="Arial" w:cs="Arial"/>
          <w:sz w:val="18"/>
          <w:szCs w:val="18"/>
        </w:rPr>
        <w:t>ahtev</w:t>
      </w:r>
      <w:r>
        <w:rPr>
          <w:rFonts w:ascii="Arial" w:hAnsi="Arial" w:cs="Arial"/>
          <w:sz w:val="18"/>
          <w:szCs w:val="18"/>
        </w:rPr>
        <w:t>o</w:t>
      </w:r>
      <w:r w:rsidRPr="009D19EF">
        <w:rPr>
          <w:rFonts w:ascii="Arial" w:hAnsi="Arial" w:cs="Arial"/>
          <w:sz w:val="18"/>
          <w:szCs w:val="18"/>
        </w:rPr>
        <w:t xml:space="preserve"> za soglasje občine</w:t>
      </w:r>
      <w:r>
        <w:rPr>
          <w:rFonts w:ascii="Arial" w:hAnsi="Arial" w:cs="Arial"/>
          <w:sz w:val="18"/>
          <w:szCs w:val="18"/>
        </w:rPr>
        <w:t xml:space="preserve"> </w:t>
      </w:r>
      <w:r w:rsidRPr="009D19EF">
        <w:rPr>
          <w:rFonts w:ascii="Arial" w:hAnsi="Arial" w:cs="Arial"/>
          <w:sz w:val="18"/>
          <w:szCs w:val="18"/>
        </w:rPr>
        <w:t>glede skladnosti manjše rekonstrukcije s prostorskim aktom</w:t>
      </w:r>
      <w:r>
        <w:rPr>
          <w:rFonts w:ascii="Arial" w:hAnsi="Arial" w:cs="Arial"/>
          <w:sz w:val="18"/>
          <w:szCs w:val="18"/>
        </w:rPr>
        <w:t xml:space="preserve"> </w:t>
      </w:r>
      <w:bookmarkEnd w:id="0"/>
      <w:r w:rsidRPr="00995ABE">
        <w:rPr>
          <w:rFonts w:ascii="Arial" w:hAnsi="Arial" w:cs="Arial"/>
          <w:sz w:val="18"/>
          <w:szCs w:val="18"/>
        </w:rPr>
        <w:t xml:space="preserve">plačati upravno takso </w:t>
      </w:r>
      <w:r w:rsidRPr="009D19EF">
        <w:rPr>
          <w:rFonts w:ascii="Arial" w:hAnsi="Arial" w:cs="Arial"/>
          <w:sz w:val="18"/>
          <w:szCs w:val="18"/>
        </w:rPr>
        <w:t>za vlogo po tarifni</w:t>
      </w:r>
      <w:r>
        <w:rPr>
          <w:rFonts w:ascii="Arial" w:hAnsi="Arial" w:cs="Arial"/>
          <w:sz w:val="18"/>
          <w:szCs w:val="18"/>
        </w:rPr>
        <w:t xml:space="preserve"> </w:t>
      </w:r>
      <w:r w:rsidRPr="009D19EF">
        <w:rPr>
          <w:rFonts w:ascii="Arial" w:hAnsi="Arial" w:cs="Arial"/>
          <w:sz w:val="18"/>
          <w:szCs w:val="18"/>
        </w:rPr>
        <w:t>številki 1 ZUT v višini 4,50 EUR in taks</w:t>
      </w:r>
      <w:r w:rsidR="00F13683">
        <w:rPr>
          <w:rFonts w:ascii="Arial" w:hAnsi="Arial" w:cs="Arial"/>
          <w:sz w:val="18"/>
          <w:szCs w:val="18"/>
        </w:rPr>
        <w:t>o</w:t>
      </w:r>
      <w:bookmarkStart w:id="1" w:name="_GoBack"/>
      <w:bookmarkEnd w:id="1"/>
      <w:r w:rsidRPr="009D19EF">
        <w:rPr>
          <w:rFonts w:ascii="Arial" w:hAnsi="Arial" w:cs="Arial"/>
          <w:sz w:val="18"/>
          <w:szCs w:val="18"/>
        </w:rPr>
        <w:t xml:space="preserve"> za izdano soglasje po tarifni številki 3 ZUT v višini 18,10 EUR.</w:t>
      </w:r>
      <w:r>
        <w:rPr>
          <w:rFonts w:ascii="Arial" w:hAnsi="Arial" w:cs="Arial"/>
          <w:sz w:val="18"/>
          <w:szCs w:val="18"/>
        </w:rPr>
        <w:t xml:space="preserve"> </w:t>
      </w:r>
    </w:p>
    <w:p w:rsidR="009D19EF" w:rsidRPr="00995ABE" w:rsidRDefault="009D19EF" w:rsidP="009D19EF">
      <w:pPr>
        <w:pStyle w:val="Telobesedila-zamik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9D19EF" w:rsidRPr="00995ABE" w:rsidRDefault="009D19EF" w:rsidP="009D19EF">
      <w:pPr>
        <w:pStyle w:val="Telobesedila-zamik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  <w:r w:rsidRPr="00995ABE">
        <w:rPr>
          <w:rFonts w:ascii="Arial" w:hAnsi="Arial" w:cs="Arial"/>
          <w:sz w:val="18"/>
          <w:szCs w:val="18"/>
        </w:rPr>
        <w:t>Če niste taksni zavezanec oziroma ste plačevanja taks oproščeni, navedite razlog iz zakona in priložite ustrezna dokazila.</w:t>
      </w:r>
    </w:p>
    <w:p w:rsidR="009D19EF" w:rsidRPr="00995ABE" w:rsidRDefault="009D19EF" w:rsidP="009D19EF">
      <w:pPr>
        <w:pStyle w:val="Telobesedila-zamik"/>
        <w:spacing w:after="0"/>
        <w:ind w:right="-126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D19EF" w:rsidRPr="00995ABE" w:rsidRDefault="009D19EF" w:rsidP="009D19EF">
      <w:pPr>
        <w:overflowPunct w:val="0"/>
        <w:ind w:right="-126" w:firstLine="1"/>
        <w:jc w:val="both"/>
        <w:rPr>
          <w:rFonts w:ascii="Arial" w:hAnsi="Arial" w:cs="Arial"/>
          <w:bCs/>
          <w:sz w:val="18"/>
          <w:szCs w:val="18"/>
          <w:lang w:val="x-none"/>
        </w:rPr>
      </w:pPr>
      <w:r w:rsidRPr="00995ABE">
        <w:rPr>
          <w:rFonts w:ascii="Arial" w:hAnsi="Arial" w:cs="Arial"/>
          <w:bCs/>
          <w:sz w:val="18"/>
          <w:szCs w:val="18"/>
          <w:lang w:val="x-none"/>
        </w:rPr>
        <w:t>Upravno takso lahko plačate na enega od naslednjih načinov:</w:t>
      </w:r>
    </w:p>
    <w:p w:rsidR="009D19EF" w:rsidRPr="00995ABE" w:rsidRDefault="009D19EF" w:rsidP="009D19EF">
      <w:pPr>
        <w:widowControl/>
        <w:numPr>
          <w:ilvl w:val="0"/>
          <w:numId w:val="1"/>
        </w:numPr>
        <w:tabs>
          <w:tab w:val="clear" w:pos="720"/>
          <w:tab w:val="num" w:pos="567"/>
        </w:tabs>
        <w:autoSpaceDE/>
        <w:autoSpaceDN/>
        <w:adjustRightInd/>
        <w:ind w:left="567" w:hanging="425"/>
        <w:jc w:val="both"/>
        <w:rPr>
          <w:rFonts w:ascii="Arial" w:hAnsi="Arial" w:cs="Arial"/>
          <w:sz w:val="18"/>
          <w:szCs w:val="18"/>
        </w:rPr>
      </w:pPr>
      <w:r w:rsidRPr="00995ABE">
        <w:rPr>
          <w:rFonts w:ascii="Arial" w:hAnsi="Arial" w:cs="Arial"/>
          <w:b/>
          <w:i/>
          <w:sz w:val="18"/>
          <w:szCs w:val="18"/>
          <w:u w:val="single"/>
        </w:rPr>
        <w:t>s plačilno oziroma kreditno kartico:</w:t>
      </w:r>
      <w:r w:rsidRPr="00995ABE">
        <w:rPr>
          <w:rFonts w:ascii="Arial" w:hAnsi="Arial" w:cs="Arial"/>
          <w:sz w:val="18"/>
          <w:szCs w:val="18"/>
        </w:rPr>
        <w:t xml:space="preserve"> v informacijski pisarni Mestne občine Ljubljana, Mestna uprava, Oddelka za urejanje prostora, Poljanska cesta 28 (v pon., tor., čet. od 8. do 15. ure, v sredo od 8. do 17. ure ter v petek od 8. do 12. ure);</w:t>
      </w:r>
    </w:p>
    <w:p w:rsidR="009D19EF" w:rsidRPr="00995ABE" w:rsidRDefault="009D19EF" w:rsidP="009D19EF">
      <w:pPr>
        <w:pStyle w:val="Odstavekseznama"/>
        <w:widowControl/>
        <w:numPr>
          <w:ilvl w:val="0"/>
          <w:numId w:val="1"/>
        </w:numPr>
        <w:tabs>
          <w:tab w:val="clear" w:pos="720"/>
          <w:tab w:val="num" w:pos="567"/>
        </w:tabs>
        <w:autoSpaceDE/>
        <w:autoSpaceDN/>
        <w:adjustRightInd/>
        <w:ind w:left="567" w:hanging="425"/>
        <w:jc w:val="both"/>
        <w:rPr>
          <w:rFonts w:ascii="Arial" w:hAnsi="Arial" w:cs="Arial"/>
          <w:sz w:val="18"/>
          <w:szCs w:val="18"/>
        </w:rPr>
      </w:pPr>
      <w:r w:rsidRPr="00995ABE">
        <w:rPr>
          <w:rFonts w:ascii="Arial" w:hAnsi="Arial" w:cs="Arial"/>
          <w:b/>
          <w:i/>
          <w:sz w:val="18"/>
          <w:szCs w:val="18"/>
          <w:u w:val="single"/>
        </w:rPr>
        <w:t>s položnico:</w:t>
      </w:r>
      <w:r w:rsidRPr="00995ABE">
        <w:rPr>
          <w:rFonts w:ascii="Arial" w:hAnsi="Arial" w:cs="Arial"/>
          <w:sz w:val="18"/>
          <w:szCs w:val="18"/>
        </w:rPr>
        <w:t xml:space="preserve"> pri banki ali elektronsko, </w:t>
      </w:r>
      <w:r w:rsidRPr="00995ABE">
        <w:rPr>
          <w:rFonts w:ascii="Arial" w:hAnsi="Arial" w:cs="Arial"/>
          <w:sz w:val="18"/>
          <w:szCs w:val="18"/>
          <w:u w:val="single"/>
        </w:rPr>
        <w:t>namen plačila</w:t>
      </w:r>
      <w:r w:rsidRPr="00995ABE">
        <w:rPr>
          <w:rFonts w:ascii="Arial" w:hAnsi="Arial" w:cs="Arial"/>
          <w:sz w:val="18"/>
          <w:szCs w:val="18"/>
        </w:rPr>
        <w:t xml:space="preserve"> </w:t>
      </w:r>
      <w:r w:rsidRPr="00995ABE">
        <w:rPr>
          <w:rFonts w:ascii="Arial" w:hAnsi="Arial" w:cs="Arial"/>
          <w:b/>
          <w:sz w:val="18"/>
          <w:szCs w:val="18"/>
        </w:rPr>
        <w:t xml:space="preserve">»plačilo upravne takse – OUP«, </w:t>
      </w:r>
      <w:r w:rsidRPr="00995ABE">
        <w:rPr>
          <w:rFonts w:ascii="Arial" w:hAnsi="Arial" w:cs="Arial"/>
          <w:sz w:val="18"/>
          <w:szCs w:val="18"/>
        </w:rPr>
        <w:t xml:space="preserve">koda namena: </w:t>
      </w:r>
      <w:r w:rsidRPr="00995ABE">
        <w:rPr>
          <w:rFonts w:ascii="Arial" w:hAnsi="Arial" w:cs="Arial"/>
          <w:b/>
          <w:sz w:val="18"/>
          <w:szCs w:val="18"/>
        </w:rPr>
        <w:t>TAXS</w:t>
      </w:r>
      <w:r w:rsidRPr="00995ABE">
        <w:rPr>
          <w:rFonts w:ascii="Arial" w:hAnsi="Arial" w:cs="Arial"/>
          <w:sz w:val="18"/>
          <w:szCs w:val="18"/>
        </w:rPr>
        <w:t xml:space="preserve">, naziv prejemnika: </w:t>
      </w:r>
      <w:r w:rsidRPr="00995ABE">
        <w:rPr>
          <w:rFonts w:ascii="Arial" w:hAnsi="Arial" w:cs="Arial"/>
          <w:b/>
          <w:sz w:val="18"/>
          <w:szCs w:val="18"/>
        </w:rPr>
        <w:t>MESTNA OBČINA LJUBLJANA</w:t>
      </w:r>
      <w:r w:rsidRPr="00995ABE">
        <w:rPr>
          <w:rFonts w:ascii="Arial" w:hAnsi="Arial" w:cs="Arial"/>
          <w:sz w:val="18"/>
          <w:szCs w:val="18"/>
        </w:rPr>
        <w:t xml:space="preserve">, naslov: Mestni trg 1, kraj: Ljubljana, BIC koda banke: </w:t>
      </w:r>
      <w:r w:rsidRPr="00995ABE">
        <w:rPr>
          <w:rFonts w:ascii="Arial" w:hAnsi="Arial" w:cs="Arial"/>
          <w:b/>
          <w:sz w:val="18"/>
          <w:szCs w:val="18"/>
        </w:rPr>
        <w:t>BSLJSI2X</w:t>
      </w:r>
      <w:r w:rsidRPr="00995ABE">
        <w:rPr>
          <w:rFonts w:ascii="Arial" w:hAnsi="Arial" w:cs="Arial"/>
          <w:sz w:val="18"/>
          <w:szCs w:val="18"/>
        </w:rPr>
        <w:t xml:space="preserve">, številka računa: </w:t>
      </w:r>
      <w:r w:rsidRPr="00995ABE">
        <w:rPr>
          <w:rFonts w:ascii="Arial" w:hAnsi="Arial" w:cs="Arial"/>
          <w:b/>
          <w:sz w:val="18"/>
          <w:szCs w:val="18"/>
        </w:rPr>
        <w:t>SI56 0126 1461 0309 121</w:t>
      </w:r>
      <w:r w:rsidRPr="00995ABE">
        <w:rPr>
          <w:rFonts w:ascii="Arial" w:hAnsi="Arial" w:cs="Arial"/>
          <w:sz w:val="18"/>
          <w:szCs w:val="18"/>
        </w:rPr>
        <w:t xml:space="preserve">, referenca: </w:t>
      </w:r>
      <w:r w:rsidRPr="00995ABE">
        <w:rPr>
          <w:rFonts w:ascii="Arial" w:hAnsi="Arial" w:cs="Arial"/>
          <w:b/>
          <w:sz w:val="18"/>
          <w:szCs w:val="18"/>
        </w:rPr>
        <w:t>SI11 75604-7111002-20</w:t>
      </w:r>
      <w:r w:rsidRPr="00995ABE">
        <w:rPr>
          <w:rFonts w:ascii="Arial" w:hAnsi="Arial" w:cs="Arial"/>
          <w:sz w:val="18"/>
          <w:szCs w:val="18"/>
        </w:rPr>
        <w:t xml:space="preserve">; </w:t>
      </w:r>
    </w:p>
    <w:p w:rsidR="009D19EF" w:rsidRPr="00995ABE" w:rsidRDefault="009D19EF" w:rsidP="009D19EF">
      <w:pPr>
        <w:widowControl/>
        <w:numPr>
          <w:ilvl w:val="0"/>
          <w:numId w:val="1"/>
        </w:numPr>
        <w:tabs>
          <w:tab w:val="clear" w:pos="720"/>
          <w:tab w:val="num" w:pos="567"/>
        </w:tabs>
        <w:autoSpaceDE/>
        <w:autoSpaceDN/>
        <w:adjustRightInd/>
        <w:ind w:left="567" w:hanging="425"/>
        <w:jc w:val="both"/>
        <w:rPr>
          <w:rFonts w:ascii="Arial" w:hAnsi="Arial" w:cs="Arial"/>
          <w:sz w:val="18"/>
          <w:szCs w:val="18"/>
        </w:rPr>
      </w:pPr>
      <w:r w:rsidRPr="00995ABE">
        <w:rPr>
          <w:rFonts w:ascii="Arial" w:hAnsi="Arial" w:cs="Arial"/>
          <w:b/>
          <w:i/>
          <w:sz w:val="18"/>
          <w:szCs w:val="18"/>
          <w:u w:val="single"/>
        </w:rPr>
        <w:t>z gotovino in s plačilno oziroma kreditno kartico:</w:t>
      </w:r>
      <w:r w:rsidRPr="00995ABE">
        <w:rPr>
          <w:rFonts w:ascii="Arial" w:hAnsi="Arial" w:cs="Arial"/>
          <w:b/>
          <w:i/>
          <w:sz w:val="18"/>
          <w:szCs w:val="18"/>
        </w:rPr>
        <w:t xml:space="preserve"> </w:t>
      </w:r>
      <w:r w:rsidRPr="00995ABE">
        <w:rPr>
          <w:rFonts w:ascii="Arial" w:hAnsi="Arial" w:cs="Arial"/>
          <w:sz w:val="18"/>
          <w:szCs w:val="18"/>
        </w:rPr>
        <w:t>na Skupni blagajni Javnega holdinga Ljubljana, Mačkova ulica 1 (v pon., tor. in čet. od 8.30 do 16. ure, v sredo od 8.30 do 17. ure  ter v petek od 8.30 do 13. ure)</w:t>
      </w:r>
      <w:r w:rsidRPr="00995ABE">
        <w:rPr>
          <w:rFonts w:ascii="Arial" w:hAnsi="Arial" w:cs="Arial"/>
          <w:i/>
          <w:sz w:val="18"/>
          <w:szCs w:val="18"/>
        </w:rPr>
        <w:t>.</w:t>
      </w:r>
    </w:p>
    <w:p w:rsidR="009D19EF" w:rsidRDefault="009D19EF" w:rsidP="009D19EF">
      <w:pPr>
        <w:ind w:right="-125"/>
        <w:jc w:val="both"/>
        <w:rPr>
          <w:rFonts w:ascii="Arial" w:hAnsi="Arial" w:cs="Arial"/>
          <w:b/>
          <w:sz w:val="18"/>
          <w:szCs w:val="18"/>
        </w:rPr>
      </w:pPr>
    </w:p>
    <w:p w:rsidR="009D19EF" w:rsidRPr="00995ABE" w:rsidRDefault="009D19EF" w:rsidP="009D19EF">
      <w:pPr>
        <w:ind w:right="-125"/>
        <w:jc w:val="both"/>
        <w:rPr>
          <w:rFonts w:ascii="Arial" w:hAnsi="Arial" w:cs="Arial"/>
          <w:sz w:val="18"/>
          <w:szCs w:val="18"/>
        </w:rPr>
      </w:pPr>
      <w:r w:rsidRPr="00995ABE">
        <w:rPr>
          <w:rFonts w:ascii="Arial" w:hAnsi="Arial" w:cs="Arial"/>
          <w:b/>
          <w:sz w:val="18"/>
          <w:szCs w:val="18"/>
        </w:rPr>
        <w:t>Dokazilo o plačilu upravne takse je potrebno priložiti k vlogi.</w:t>
      </w:r>
    </w:p>
    <w:p w:rsidR="009D19EF" w:rsidRDefault="009D19EF" w:rsidP="009D19EF">
      <w:pPr>
        <w:jc w:val="both"/>
        <w:rPr>
          <w:rFonts w:ascii="Arial" w:hAnsi="Arial" w:cs="Arial"/>
          <w:sz w:val="18"/>
          <w:szCs w:val="18"/>
        </w:rPr>
      </w:pPr>
    </w:p>
    <w:p w:rsidR="009D19EF" w:rsidRPr="00995ABE" w:rsidRDefault="009D19EF" w:rsidP="009D19EF">
      <w:pPr>
        <w:jc w:val="both"/>
        <w:rPr>
          <w:rFonts w:ascii="Arial" w:hAnsi="Arial" w:cs="Arial"/>
          <w:sz w:val="18"/>
          <w:szCs w:val="18"/>
        </w:rPr>
      </w:pPr>
      <w:r w:rsidRPr="00995ABE">
        <w:rPr>
          <w:rFonts w:ascii="Arial" w:hAnsi="Arial" w:cs="Arial"/>
          <w:sz w:val="18"/>
          <w:szCs w:val="18"/>
        </w:rPr>
        <w:t>V primeru, da taksa ne bo plačana ob oddaji vloge oziroma ji ne bo priloženo dokazilo o plačilu, bo v skladu s 16. členom ZUT izdan plačilni nalog, neupoštevanje v njem določenega roka za plačilo pa bo podlaga za obračun zamudnih obresti in posredovanje davčnemu organu v izvršitev.</w:t>
      </w:r>
    </w:p>
    <w:p w:rsidR="009D19EF" w:rsidRPr="00995ABE" w:rsidRDefault="009D19EF" w:rsidP="009D19EF">
      <w:pPr>
        <w:jc w:val="both"/>
        <w:rPr>
          <w:rFonts w:ascii="Arial" w:hAnsi="Arial" w:cs="Arial"/>
          <w:sz w:val="18"/>
          <w:szCs w:val="18"/>
        </w:rPr>
      </w:pPr>
    </w:p>
    <w:p w:rsidR="009D19EF" w:rsidRDefault="009D19EF" w:rsidP="009D19EF">
      <w:pPr>
        <w:jc w:val="both"/>
        <w:rPr>
          <w:rFonts w:ascii="Arial" w:hAnsi="Arial" w:cs="Arial"/>
          <w:sz w:val="18"/>
          <w:szCs w:val="18"/>
        </w:rPr>
      </w:pPr>
      <w:r w:rsidRPr="00FB7386">
        <w:rPr>
          <w:rFonts w:ascii="Arial" w:hAnsi="Arial" w:cs="Arial"/>
          <w:sz w:val="18"/>
          <w:szCs w:val="18"/>
        </w:rPr>
        <w:t xml:space="preserve">Stranke </w:t>
      </w:r>
      <w:r w:rsidR="0068667E" w:rsidRPr="0068667E">
        <w:rPr>
          <w:rFonts w:ascii="Arial" w:hAnsi="Arial" w:cs="Arial"/>
          <w:sz w:val="18"/>
          <w:szCs w:val="18"/>
        </w:rPr>
        <w:t xml:space="preserve">Zahtevo za soglasje občine glede skladnosti manjše rekonstrukcije s prostorskim aktom </w:t>
      </w:r>
      <w:r w:rsidRPr="00FB7386">
        <w:rPr>
          <w:rFonts w:ascii="Arial" w:hAnsi="Arial" w:cs="Arial"/>
          <w:sz w:val="18"/>
          <w:szCs w:val="18"/>
        </w:rPr>
        <w:t>in dokazila o plačilu upravne takse oddajo osebno ali po pošti na Mestno občino</w:t>
      </w:r>
      <w:r>
        <w:rPr>
          <w:rFonts w:ascii="Arial" w:hAnsi="Arial" w:cs="Arial"/>
          <w:sz w:val="18"/>
          <w:szCs w:val="18"/>
        </w:rPr>
        <w:t xml:space="preserve"> </w:t>
      </w:r>
      <w:r w:rsidRPr="00FB7386">
        <w:rPr>
          <w:rFonts w:ascii="Arial" w:hAnsi="Arial" w:cs="Arial"/>
          <w:sz w:val="18"/>
          <w:szCs w:val="18"/>
        </w:rPr>
        <w:t>Ljubljana, Mestna uprava, Oddelek za urejanje prostora, Poljanska cesta 28, 1000 Ljubljana, lahko pa tudi</w:t>
      </w:r>
      <w:r>
        <w:rPr>
          <w:rFonts w:ascii="Arial" w:hAnsi="Arial" w:cs="Arial"/>
          <w:sz w:val="18"/>
          <w:szCs w:val="18"/>
        </w:rPr>
        <w:t xml:space="preserve"> </w:t>
      </w:r>
      <w:r w:rsidRPr="00FB7386">
        <w:rPr>
          <w:rFonts w:ascii="Arial" w:hAnsi="Arial" w:cs="Arial"/>
          <w:sz w:val="18"/>
          <w:szCs w:val="18"/>
        </w:rPr>
        <w:t xml:space="preserve">po elektronski pošti na naslov: </w:t>
      </w:r>
      <w:r w:rsidRPr="0025385F">
        <w:rPr>
          <w:rFonts w:ascii="Arial" w:hAnsi="Arial" w:cs="Arial"/>
          <w:color w:val="2E74B5" w:themeColor="accent5" w:themeShade="BF"/>
          <w:sz w:val="18"/>
          <w:szCs w:val="18"/>
          <w:u w:val="single"/>
        </w:rPr>
        <w:t>urbanizem@ljubljana.si</w:t>
      </w:r>
      <w:r w:rsidRPr="00FB7386">
        <w:rPr>
          <w:rFonts w:ascii="Arial" w:hAnsi="Arial" w:cs="Arial"/>
          <w:sz w:val="18"/>
          <w:szCs w:val="18"/>
        </w:rPr>
        <w:t xml:space="preserve"> ali </w:t>
      </w:r>
      <w:hyperlink r:id="rId5" w:history="1">
        <w:r w:rsidRPr="003511CA">
          <w:rPr>
            <w:rStyle w:val="Hiperpovezava"/>
            <w:rFonts w:ascii="Arial" w:hAnsi="Arial" w:cs="Arial"/>
            <w:sz w:val="18"/>
            <w:szCs w:val="18"/>
          </w:rPr>
          <w:t>glavna.pisarna@ljubljana.si</w:t>
        </w:r>
      </w:hyperlink>
      <w:r>
        <w:rPr>
          <w:rFonts w:ascii="Arial" w:hAnsi="Arial" w:cs="Arial"/>
          <w:sz w:val="18"/>
          <w:szCs w:val="18"/>
        </w:rPr>
        <w:t xml:space="preserve"> ali z elektronsko vlogo preko portala </w:t>
      </w:r>
      <w:proofErr w:type="spellStart"/>
      <w:r>
        <w:rPr>
          <w:rFonts w:ascii="Arial" w:hAnsi="Arial" w:cs="Arial"/>
          <w:sz w:val="18"/>
          <w:szCs w:val="18"/>
        </w:rPr>
        <w:t>eUPRAVA</w:t>
      </w:r>
      <w:proofErr w:type="spellEnd"/>
      <w:r>
        <w:rPr>
          <w:rFonts w:ascii="Arial" w:hAnsi="Arial" w:cs="Arial"/>
          <w:sz w:val="18"/>
          <w:szCs w:val="18"/>
        </w:rPr>
        <w:t xml:space="preserve"> (za fizične osebe) in portala SPOT (za pravne osebe).</w:t>
      </w:r>
    </w:p>
    <w:p w:rsidR="009D19EF" w:rsidRDefault="009D19EF" w:rsidP="009D19EF">
      <w:pPr>
        <w:jc w:val="both"/>
        <w:rPr>
          <w:rFonts w:ascii="Arial" w:hAnsi="Arial" w:cs="Arial"/>
          <w:sz w:val="18"/>
          <w:szCs w:val="18"/>
        </w:rPr>
      </w:pPr>
    </w:p>
    <w:p w:rsidR="006672CF" w:rsidRDefault="006672CF" w:rsidP="00751108">
      <w:pPr>
        <w:pStyle w:val="TableParagraph"/>
      </w:pPr>
    </w:p>
    <w:sectPr w:rsidR="006672CF">
      <w:type w:val="continuous"/>
      <w:pgSz w:w="11910" w:h="16840"/>
      <w:pgMar w:top="1540" w:right="1080" w:bottom="280" w:left="10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552B0"/>
    <w:multiLevelType w:val="hybridMultilevel"/>
    <w:tmpl w:val="E9CAA29E"/>
    <w:lvl w:ilvl="0" w:tplc="F1FA9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F9"/>
    <w:rsid w:val="00185995"/>
    <w:rsid w:val="00217116"/>
    <w:rsid w:val="006672CF"/>
    <w:rsid w:val="0068667E"/>
    <w:rsid w:val="00751108"/>
    <w:rsid w:val="008759F9"/>
    <w:rsid w:val="00925B6E"/>
    <w:rsid w:val="009D19EF"/>
    <w:rsid w:val="009D7C89"/>
    <w:rsid w:val="00C23D1F"/>
    <w:rsid w:val="00C41591"/>
    <w:rsid w:val="00D519F7"/>
    <w:rsid w:val="00F1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6FFBD"/>
  <w14:defaultImageDpi w14:val="0"/>
  <w15:docId w15:val="{DC313025-FBBD-46E6-AB03-113C9FCB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Pr>
      <w:b/>
      <w:bCs/>
      <w:i/>
      <w:iCs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rFonts w:ascii="Arial Narrow" w:hAnsi="Arial Narrow" w:cs="Arial Narrow"/>
    </w:rPr>
  </w:style>
  <w:style w:type="paragraph" w:styleId="Odstavekseznama">
    <w:name w:val="List Paragraph"/>
    <w:basedOn w:val="Navaden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Pr>
      <w:sz w:val="24"/>
      <w:szCs w:val="24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9D19EF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9D19EF"/>
    <w:rPr>
      <w:rFonts w:ascii="Arial Narrow" w:hAnsi="Arial Narrow" w:cs="Arial Narrow"/>
    </w:rPr>
  </w:style>
  <w:style w:type="character" w:styleId="Hiperpovezava">
    <w:name w:val="Hyperlink"/>
    <w:basedOn w:val="Privzetapisavaodstavka"/>
    <w:uiPriority w:val="99"/>
    <w:unhideWhenUsed/>
    <w:rsid w:val="009D19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vna.pisarna@ljubljan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Leban Lavriša Nataša</dc:creator>
  <cp:keywords/>
  <dc:description/>
  <cp:lastModifiedBy>Leban Lavriša Nataša</cp:lastModifiedBy>
  <cp:revision>6</cp:revision>
  <cp:lastPrinted>2024-01-18T08:58:00Z</cp:lastPrinted>
  <dcterms:created xsi:type="dcterms:W3CDTF">2024-01-17T12:00:00Z</dcterms:created>
  <dcterms:modified xsi:type="dcterms:W3CDTF">2024-01-18T11:15:00Z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CS6 (Windows)</vt:lpwstr>
  </property>
</Properties>
</file>