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BF1CB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69152533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Pr="00787BD6" w:rsidRDefault="00415AC6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Predmet javne dražbe je nepozidano stavbno zemljišče</w:t>
      </w:r>
      <w:r w:rsidR="00E86A5E">
        <w:rPr>
          <w:b/>
          <w:sz w:val="22"/>
          <w:szCs w:val="22"/>
        </w:rPr>
        <w:t>:</w:t>
      </w: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96/11 </w:t>
      </w:r>
      <w:r>
        <w:rPr>
          <w:sz w:val="22"/>
          <w:szCs w:val="22"/>
        </w:rPr>
        <w:t>(ID znak 1770 96/11) v izmeri 875 m², k.o. 1770 Kašelj.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PO-612, z namembnostjo SSce – pretežno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031D21" w:rsidRDefault="00031D21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parc. št. 1637/14 </w:t>
      </w:r>
      <w:r>
        <w:rPr>
          <w:sz w:val="22"/>
          <w:szCs w:val="22"/>
        </w:rPr>
        <w:t>(ID znak: parcela 1994 1637/14) v izmeri 1092 m2, k.o. 1994-Dobrova.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Pr="00F20185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95/15)</w:t>
      </w:r>
      <w:r>
        <w:rPr>
          <w:sz w:val="22"/>
          <w:szCs w:val="22"/>
        </w:rPr>
        <w:t xml:space="preserve"> je del predmetnega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409, z namembnostjo Ssse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splošne eno in dvostanovanjske površine, del pa v enoti urejanja prostora VI-728, z namembnostjo K1 – najboljša kmetijska zemljišča. 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>(z besedo: sto devetindvajset tisoč devetsto oseminštirideset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3.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SSce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9C327F" w:rsidRDefault="009C327F" w:rsidP="009C327F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BC687A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9C327F" w:rsidRDefault="009C327F" w:rsidP="009C3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BC687A">
        <w:rPr>
          <w:b/>
          <w:sz w:val="22"/>
          <w:szCs w:val="22"/>
        </w:rPr>
        <w:t>813/15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BC687A">
        <w:rPr>
          <w:sz w:val="22"/>
          <w:szCs w:val="22"/>
        </w:rPr>
        <w:t>55</w:t>
      </w:r>
      <w:r>
        <w:rPr>
          <w:sz w:val="22"/>
          <w:szCs w:val="22"/>
        </w:rPr>
        <w:t xml:space="preserve"> </w:t>
      </w:r>
      <w:r w:rsidR="00BC687A">
        <w:rPr>
          <w:sz w:val="22"/>
          <w:szCs w:val="22"/>
        </w:rPr>
        <w:t>813/15</w:t>
      </w:r>
      <w:r>
        <w:rPr>
          <w:sz w:val="22"/>
          <w:szCs w:val="22"/>
        </w:rPr>
        <w:t>) v izmeri 3</w:t>
      </w:r>
      <w:r w:rsidR="00BC687A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</w:t>
      </w:r>
      <w:r w:rsidR="00BC687A">
        <w:rPr>
          <w:sz w:val="22"/>
          <w:szCs w:val="22"/>
        </w:rPr>
        <w:t>55</w:t>
      </w:r>
      <w:r>
        <w:rPr>
          <w:sz w:val="22"/>
          <w:szCs w:val="22"/>
        </w:rPr>
        <w:t xml:space="preserve"> – </w:t>
      </w:r>
      <w:r w:rsidR="00BC687A">
        <w:rPr>
          <w:sz w:val="22"/>
          <w:szCs w:val="22"/>
        </w:rPr>
        <w:t>Glince</w:t>
      </w:r>
      <w:r>
        <w:rPr>
          <w:sz w:val="22"/>
          <w:szCs w:val="22"/>
        </w:rPr>
        <w:t>.</w:t>
      </w:r>
    </w:p>
    <w:p w:rsidR="009C327F" w:rsidRDefault="009C327F" w:rsidP="009C327F">
      <w:pPr>
        <w:jc w:val="both"/>
        <w:rPr>
          <w:b/>
          <w:sz w:val="22"/>
          <w:szCs w:val="22"/>
        </w:rPr>
      </w:pPr>
    </w:p>
    <w:p w:rsidR="009C327F" w:rsidRDefault="009C327F" w:rsidP="009C32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BC687A">
        <w:rPr>
          <w:sz w:val="22"/>
          <w:szCs w:val="22"/>
        </w:rPr>
        <w:t>DR</w:t>
      </w:r>
      <w:r>
        <w:rPr>
          <w:sz w:val="22"/>
          <w:szCs w:val="22"/>
        </w:rPr>
        <w:t>-</w:t>
      </w:r>
      <w:r w:rsidR="00BC687A">
        <w:rPr>
          <w:sz w:val="22"/>
          <w:szCs w:val="22"/>
        </w:rPr>
        <w:t>477</w:t>
      </w:r>
      <w:r>
        <w:rPr>
          <w:sz w:val="22"/>
          <w:szCs w:val="22"/>
        </w:rPr>
        <w:t>, z namembnostjo SS</w:t>
      </w:r>
      <w:r w:rsidR="00BC687A">
        <w:rPr>
          <w:sz w:val="22"/>
          <w:szCs w:val="22"/>
        </w:rPr>
        <w:t>s</w:t>
      </w:r>
      <w:r>
        <w:rPr>
          <w:sz w:val="22"/>
          <w:szCs w:val="22"/>
        </w:rPr>
        <w:t xml:space="preserve">e – splošne eno in dvostanovanjske površine. </w:t>
      </w:r>
    </w:p>
    <w:p w:rsidR="009C327F" w:rsidRDefault="009C327F" w:rsidP="009C327F">
      <w:pPr>
        <w:pStyle w:val="Telobesedila"/>
        <w:ind w:right="264"/>
        <w:jc w:val="both"/>
        <w:rPr>
          <w:lang w:val="sl-SI"/>
        </w:rPr>
      </w:pPr>
    </w:p>
    <w:p w:rsidR="009C327F" w:rsidRDefault="009C327F" w:rsidP="009C32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9C327F" w:rsidRDefault="009C327F" w:rsidP="009C327F">
      <w:pPr>
        <w:rPr>
          <w:sz w:val="22"/>
          <w:szCs w:val="22"/>
        </w:rPr>
      </w:pPr>
    </w:p>
    <w:p w:rsidR="009C327F" w:rsidRDefault="009C327F" w:rsidP="009C32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BC687A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>.0</w:t>
      </w:r>
      <w:r w:rsidR="00BC687A">
        <w:rPr>
          <w:b/>
          <w:sz w:val="22"/>
          <w:szCs w:val="22"/>
        </w:rPr>
        <w:t>88</w:t>
      </w:r>
      <w:r>
        <w:rPr>
          <w:b/>
          <w:sz w:val="22"/>
          <w:szCs w:val="22"/>
        </w:rPr>
        <w:t>,00 EUR.</w:t>
      </w:r>
    </w:p>
    <w:p w:rsidR="009C327F" w:rsidRDefault="009C327F" w:rsidP="009C32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C687A">
        <w:rPr>
          <w:sz w:val="22"/>
          <w:szCs w:val="22"/>
        </w:rPr>
        <w:t xml:space="preserve">petinpetdeset tisoč oseminosemdeset </w:t>
      </w:r>
      <w:r>
        <w:rPr>
          <w:sz w:val="22"/>
          <w:szCs w:val="22"/>
        </w:rPr>
        <w:t>evrov 00/100)</w:t>
      </w:r>
    </w:p>
    <w:p w:rsidR="009C327F" w:rsidRDefault="009C327F" w:rsidP="009C32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a </w:t>
      </w:r>
      <w:r w:rsidR="00BC687A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</w:t>
      </w:r>
      <w:r w:rsidRPr="00DE7BC8">
        <w:rPr>
          <w:sz w:val="22"/>
          <w:szCs w:val="22"/>
        </w:rPr>
        <w:t xml:space="preserve"> kupec.</w:t>
      </w:r>
    </w:p>
    <w:p w:rsidR="005F7BDD" w:rsidRDefault="005F7BDD" w:rsidP="005F7BDD">
      <w:pPr>
        <w:rPr>
          <w:sz w:val="22"/>
          <w:szCs w:val="22"/>
        </w:rPr>
      </w:pPr>
    </w:p>
    <w:p w:rsidR="00AD235C" w:rsidRDefault="00AD235C" w:rsidP="00AD235C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5.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AD235C" w:rsidRDefault="00AD235C" w:rsidP="00AD23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616/4 </w:t>
      </w:r>
      <w:r>
        <w:rPr>
          <w:sz w:val="22"/>
          <w:szCs w:val="22"/>
        </w:rPr>
        <w:t>(ID znak: parcela 1757 616/4) v izmeri 278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1757 – Nadgorica.</w:t>
      </w:r>
    </w:p>
    <w:p w:rsidR="00AD235C" w:rsidRDefault="00AD235C" w:rsidP="00AD235C">
      <w:pPr>
        <w:jc w:val="both"/>
        <w:rPr>
          <w:b/>
          <w:sz w:val="22"/>
          <w:szCs w:val="22"/>
        </w:rPr>
      </w:pPr>
    </w:p>
    <w:p w:rsidR="00AD235C" w:rsidRDefault="00AD235C" w:rsidP="00AD2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353301">
        <w:rPr>
          <w:sz w:val="22"/>
          <w:szCs w:val="22"/>
        </w:rPr>
        <w:t>ČR</w:t>
      </w:r>
      <w:r>
        <w:rPr>
          <w:sz w:val="22"/>
          <w:szCs w:val="22"/>
        </w:rPr>
        <w:t>-</w:t>
      </w:r>
      <w:r w:rsidR="00353301">
        <w:rPr>
          <w:sz w:val="22"/>
          <w:szCs w:val="22"/>
        </w:rPr>
        <w:t>472, z namembnostjo IG – gospodarske cone.</w:t>
      </w:r>
      <w:r>
        <w:rPr>
          <w:sz w:val="22"/>
          <w:szCs w:val="22"/>
        </w:rPr>
        <w:t xml:space="preserve"> </w:t>
      </w:r>
    </w:p>
    <w:p w:rsidR="00AD235C" w:rsidRDefault="00AD235C" w:rsidP="00AD235C">
      <w:pPr>
        <w:pStyle w:val="Telobesedila"/>
        <w:ind w:right="264"/>
        <w:jc w:val="both"/>
        <w:rPr>
          <w:lang w:val="sl-SI"/>
        </w:rPr>
      </w:pPr>
    </w:p>
    <w:p w:rsidR="00AD235C" w:rsidRDefault="00353301" w:rsidP="00AD2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zemljiškoknjižno urejenega dostopa z javne poti. </w:t>
      </w:r>
    </w:p>
    <w:p w:rsidR="00AD235C" w:rsidRDefault="00AD235C" w:rsidP="00AD235C">
      <w:pPr>
        <w:rPr>
          <w:sz w:val="22"/>
          <w:szCs w:val="22"/>
        </w:rPr>
      </w:pPr>
    </w:p>
    <w:p w:rsidR="00AD235C" w:rsidRDefault="00AD235C" w:rsidP="00AD235C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8C49F9">
        <w:rPr>
          <w:b/>
          <w:sz w:val="22"/>
          <w:szCs w:val="22"/>
        </w:rPr>
        <w:t>33.360</w:t>
      </w:r>
      <w:r>
        <w:rPr>
          <w:b/>
          <w:sz w:val="22"/>
          <w:szCs w:val="22"/>
        </w:rPr>
        <w:t>,00 EUR.</w:t>
      </w:r>
    </w:p>
    <w:p w:rsidR="00AD235C" w:rsidRDefault="00AD235C" w:rsidP="00AD235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C49F9">
        <w:rPr>
          <w:sz w:val="22"/>
          <w:szCs w:val="22"/>
        </w:rPr>
        <w:t>triintrideset tisoč tristo šestdeset</w:t>
      </w:r>
      <w:r>
        <w:rPr>
          <w:sz w:val="22"/>
          <w:szCs w:val="22"/>
        </w:rPr>
        <w:t xml:space="preserve"> evrov 00/100)</w:t>
      </w:r>
    </w:p>
    <w:p w:rsidR="00AD235C" w:rsidRDefault="00AD235C" w:rsidP="00AD235C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promet nepremičnin, ki ga plača</w:t>
      </w:r>
      <w:r w:rsidRPr="00DE7BC8">
        <w:rPr>
          <w:sz w:val="22"/>
          <w:szCs w:val="22"/>
        </w:rPr>
        <w:t xml:space="preserve"> kupec.</w:t>
      </w:r>
    </w:p>
    <w:p w:rsidR="00FB7B77" w:rsidRDefault="00FB7B77" w:rsidP="00AD235C">
      <w:pPr>
        <w:rPr>
          <w:sz w:val="22"/>
          <w:szCs w:val="22"/>
        </w:rPr>
      </w:pPr>
    </w:p>
    <w:p w:rsidR="00FB7B77" w:rsidRDefault="00FB7B77" w:rsidP="00FB7B77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FB7B77" w:rsidRDefault="00FB7B77" w:rsidP="00FB7B7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52/19 </w:t>
      </w:r>
      <w:r>
        <w:rPr>
          <w:sz w:val="22"/>
          <w:szCs w:val="22"/>
        </w:rPr>
        <w:t>(ID znak: parcela 2679 52/19) v izmeri 104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2679 – Gradišče II.</w:t>
      </w:r>
    </w:p>
    <w:p w:rsidR="00FB7B77" w:rsidRDefault="00FB7B77" w:rsidP="00FB7B77">
      <w:pPr>
        <w:jc w:val="both"/>
        <w:rPr>
          <w:b/>
          <w:sz w:val="22"/>
          <w:szCs w:val="22"/>
        </w:rPr>
      </w:pPr>
    </w:p>
    <w:p w:rsidR="00FB7B77" w:rsidRDefault="00FB7B77" w:rsidP="00FB7B7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RD-248, z namembnostjo SSsv – splošne večstanovanjske površine. </w:t>
      </w:r>
    </w:p>
    <w:p w:rsidR="00FB7B77" w:rsidRDefault="00FB7B77" w:rsidP="00FB7B77">
      <w:pPr>
        <w:jc w:val="both"/>
        <w:rPr>
          <w:sz w:val="22"/>
          <w:szCs w:val="22"/>
        </w:rPr>
      </w:pPr>
    </w:p>
    <w:p w:rsidR="00FB7B77" w:rsidRDefault="00FB7B77" w:rsidP="00FB7B77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je v zemljiški knjigi vknjižena neprava stvarna služnost v korist imetnika Telekoma Slovenije, d. d..</w:t>
      </w:r>
    </w:p>
    <w:p w:rsidR="00FB7B77" w:rsidRDefault="00FB7B77" w:rsidP="00FB7B77">
      <w:pPr>
        <w:rPr>
          <w:sz w:val="22"/>
          <w:szCs w:val="22"/>
        </w:rPr>
      </w:pPr>
    </w:p>
    <w:p w:rsidR="00FB7B77" w:rsidRDefault="00FB7B77" w:rsidP="00FB7B77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15.600,00 EUR.</w:t>
      </w:r>
    </w:p>
    <w:p w:rsidR="00FB7B77" w:rsidRDefault="00FB7B77" w:rsidP="00FB7B77">
      <w:pPr>
        <w:rPr>
          <w:b/>
          <w:sz w:val="22"/>
          <w:szCs w:val="22"/>
        </w:rPr>
      </w:pPr>
      <w:r>
        <w:rPr>
          <w:sz w:val="22"/>
          <w:szCs w:val="22"/>
        </w:rPr>
        <w:t>(z besedo: petnajst tisoč šeststo evrov 00/100)</w:t>
      </w:r>
    </w:p>
    <w:p w:rsidR="00FB7B77" w:rsidRDefault="00FB7B77" w:rsidP="00FB7B77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promet nepremičnin, ki ga plača</w:t>
      </w:r>
      <w:r w:rsidRPr="00DE7BC8">
        <w:rPr>
          <w:sz w:val="22"/>
          <w:szCs w:val="22"/>
        </w:rPr>
        <w:t xml:space="preserve"> kupec.</w:t>
      </w:r>
    </w:p>
    <w:p w:rsidR="008B60C8" w:rsidRDefault="008B60C8" w:rsidP="00FB7B77">
      <w:pPr>
        <w:rPr>
          <w:sz w:val="22"/>
          <w:szCs w:val="22"/>
        </w:rPr>
      </w:pPr>
    </w:p>
    <w:p w:rsidR="008B60C8" w:rsidRDefault="008B60C8" w:rsidP="00FB7B77">
      <w:pPr>
        <w:rPr>
          <w:sz w:val="22"/>
          <w:szCs w:val="22"/>
        </w:rPr>
      </w:pPr>
    </w:p>
    <w:p w:rsidR="008B60C8" w:rsidRDefault="008B60C8" w:rsidP="008B60C8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2C14AF">
        <w:rPr>
          <w:b/>
          <w:sz w:val="22"/>
          <w:szCs w:val="22"/>
        </w:rPr>
        <w:t>832/2</w:t>
      </w:r>
      <w:r>
        <w:rPr>
          <w:b/>
          <w:sz w:val="22"/>
          <w:szCs w:val="22"/>
        </w:rPr>
        <w:t xml:space="preserve"> </w:t>
      </w:r>
      <w:r w:rsidR="002C14AF">
        <w:rPr>
          <w:sz w:val="22"/>
          <w:szCs w:val="22"/>
        </w:rPr>
        <w:t>(ID znak: parcela 1722 832/2) v izmeri 242</w:t>
      </w:r>
      <w:r w:rsidRPr="009702D5">
        <w:rPr>
          <w:sz w:val="22"/>
          <w:szCs w:val="22"/>
        </w:rPr>
        <w:t xml:space="preserve"> m², k.o. </w:t>
      </w:r>
      <w:r w:rsidR="002C14AF">
        <w:rPr>
          <w:sz w:val="22"/>
          <w:szCs w:val="22"/>
        </w:rPr>
        <w:t>1722</w:t>
      </w:r>
      <w:r>
        <w:rPr>
          <w:sz w:val="22"/>
          <w:szCs w:val="22"/>
        </w:rPr>
        <w:t xml:space="preserve"> – </w:t>
      </w:r>
      <w:r w:rsidR="002C14AF">
        <w:rPr>
          <w:sz w:val="22"/>
          <w:szCs w:val="22"/>
        </w:rPr>
        <w:t>Trnovsko predmestje.</w:t>
      </w:r>
    </w:p>
    <w:p w:rsidR="008B60C8" w:rsidRDefault="008B60C8" w:rsidP="008B60C8">
      <w:pPr>
        <w:jc w:val="both"/>
        <w:rPr>
          <w:b/>
          <w:sz w:val="22"/>
          <w:szCs w:val="22"/>
        </w:rPr>
      </w:pP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912CD1">
        <w:rPr>
          <w:sz w:val="22"/>
          <w:szCs w:val="22"/>
        </w:rPr>
        <w:t>TR-496</w:t>
      </w:r>
      <w:r w:rsidR="00C156AA">
        <w:rPr>
          <w:sz w:val="22"/>
          <w:szCs w:val="22"/>
        </w:rPr>
        <w:t xml:space="preserve">, z namembnostjo SSse- splošne eno in dvostanovanjske površine. </w:t>
      </w:r>
      <w:r>
        <w:rPr>
          <w:sz w:val="22"/>
          <w:szCs w:val="22"/>
        </w:rPr>
        <w:t xml:space="preserve"> </w:t>
      </w:r>
    </w:p>
    <w:p w:rsidR="008B60C8" w:rsidRDefault="008B60C8" w:rsidP="008B60C8">
      <w:pPr>
        <w:jc w:val="both"/>
        <w:rPr>
          <w:sz w:val="22"/>
          <w:szCs w:val="22"/>
        </w:rPr>
      </w:pP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je v zemljiški knjigi vknjižena neprava stvarna služnost v korist imetnika Telekoma Slovenije, d. d..</w:t>
      </w:r>
    </w:p>
    <w:p w:rsidR="00704958" w:rsidRDefault="00704958" w:rsidP="008B60C8">
      <w:pPr>
        <w:jc w:val="both"/>
        <w:rPr>
          <w:sz w:val="22"/>
          <w:szCs w:val="22"/>
        </w:rPr>
      </w:pPr>
    </w:p>
    <w:p w:rsidR="00704958" w:rsidRDefault="0070495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uzurpirano, na njem se nahaja nelegalni objekt v lasti lastnika parc. št. 832/</w:t>
      </w:r>
      <w:r w:rsidR="00EB032E">
        <w:rPr>
          <w:sz w:val="22"/>
          <w:szCs w:val="22"/>
        </w:rPr>
        <w:t>1</w:t>
      </w:r>
      <w:r>
        <w:rPr>
          <w:sz w:val="22"/>
          <w:szCs w:val="22"/>
        </w:rPr>
        <w:t xml:space="preserve">15, k. o. </w:t>
      </w:r>
      <w:bookmarkStart w:id="0" w:name="_GoBack"/>
      <w:bookmarkEnd w:id="0"/>
      <w:r>
        <w:rPr>
          <w:sz w:val="22"/>
          <w:szCs w:val="22"/>
        </w:rPr>
        <w:t>1722-Trnovsko predmestje, ki za lastne potrebe uporablja celotno zemljišče.</w:t>
      </w:r>
    </w:p>
    <w:p w:rsidR="00704958" w:rsidRDefault="00704958" w:rsidP="008B60C8">
      <w:pPr>
        <w:jc w:val="both"/>
        <w:rPr>
          <w:sz w:val="22"/>
          <w:szCs w:val="22"/>
        </w:rPr>
      </w:pPr>
    </w:p>
    <w:p w:rsidR="00704958" w:rsidRDefault="0070495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nima zemljiškoknjižnega urejenega dostopa z javne poti.</w:t>
      </w:r>
    </w:p>
    <w:p w:rsidR="008B60C8" w:rsidRDefault="008B60C8" w:rsidP="008B60C8">
      <w:pPr>
        <w:rPr>
          <w:sz w:val="22"/>
          <w:szCs w:val="22"/>
        </w:rPr>
      </w:pPr>
    </w:p>
    <w:p w:rsidR="008B60C8" w:rsidRDefault="008B60C8" w:rsidP="008B60C8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AF6BB8">
        <w:rPr>
          <w:b/>
          <w:sz w:val="22"/>
          <w:szCs w:val="22"/>
        </w:rPr>
        <w:t>42</w:t>
      </w:r>
      <w:r w:rsidR="00704958">
        <w:rPr>
          <w:b/>
          <w:sz w:val="22"/>
          <w:szCs w:val="22"/>
        </w:rPr>
        <w:t>.592,00</w:t>
      </w:r>
      <w:r>
        <w:rPr>
          <w:b/>
          <w:sz w:val="22"/>
          <w:szCs w:val="22"/>
        </w:rPr>
        <w:t xml:space="preserve"> EUR.</w:t>
      </w:r>
    </w:p>
    <w:p w:rsidR="008B60C8" w:rsidRDefault="008B60C8" w:rsidP="008B60C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AF6BB8">
        <w:rPr>
          <w:sz w:val="22"/>
          <w:szCs w:val="22"/>
        </w:rPr>
        <w:t>dva</w:t>
      </w:r>
      <w:r w:rsidR="00704958">
        <w:rPr>
          <w:sz w:val="22"/>
          <w:szCs w:val="22"/>
        </w:rPr>
        <w:t>inštirideset tisoč petsto dvaindevetdeset</w:t>
      </w:r>
      <w:r>
        <w:rPr>
          <w:sz w:val="22"/>
          <w:szCs w:val="22"/>
        </w:rPr>
        <w:t xml:space="preserve"> evrov 00/100)</w:t>
      </w:r>
    </w:p>
    <w:p w:rsidR="008B60C8" w:rsidRDefault="008B60C8" w:rsidP="008B60C8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</w:t>
      </w:r>
      <w:r w:rsidR="00704958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a </w:t>
      </w:r>
      <w:r w:rsidR="007F58A6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</w:t>
      </w:r>
      <w:r w:rsidRPr="00DE7BC8">
        <w:rPr>
          <w:sz w:val="22"/>
          <w:szCs w:val="22"/>
        </w:rPr>
        <w:t xml:space="preserve"> kupec.</w:t>
      </w:r>
    </w:p>
    <w:p w:rsidR="00C41F7C" w:rsidRDefault="00C41F7C" w:rsidP="008B60C8">
      <w:pPr>
        <w:rPr>
          <w:sz w:val="22"/>
          <w:szCs w:val="22"/>
        </w:rPr>
      </w:pPr>
    </w:p>
    <w:p w:rsidR="00C41F7C" w:rsidRDefault="00C41F7C" w:rsidP="00C41F7C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sta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nepozidani stavbni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787BD6">
        <w:rPr>
          <w:sz w:val="22"/>
          <w:szCs w:val="22"/>
          <w:u w:val="single"/>
        </w:rPr>
        <w:t xml:space="preserve"> s:</w:t>
      </w:r>
    </w:p>
    <w:p w:rsidR="00C41F7C" w:rsidRDefault="00C41F7C" w:rsidP="00C41F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324/4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1770 </w:t>
      </w:r>
      <w:r>
        <w:rPr>
          <w:sz w:val="22"/>
          <w:szCs w:val="22"/>
        </w:rPr>
        <w:t>324/4</w:t>
      </w:r>
      <w:r w:rsidR="00EB4BF5">
        <w:rPr>
          <w:sz w:val="22"/>
          <w:szCs w:val="22"/>
        </w:rPr>
        <w:t>) v izmeri 668</w:t>
      </w:r>
      <w:r w:rsidRPr="009702D5">
        <w:rPr>
          <w:sz w:val="22"/>
          <w:szCs w:val="22"/>
        </w:rPr>
        <w:t xml:space="preserve"> m², k.o. </w:t>
      </w:r>
      <w:r w:rsidR="00EB4BF5">
        <w:rPr>
          <w:sz w:val="22"/>
          <w:szCs w:val="22"/>
        </w:rPr>
        <w:t>1770 – Kašelj,</w:t>
      </w:r>
    </w:p>
    <w:p w:rsidR="00EB4BF5" w:rsidRDefault="00EB4BF5" w:rsidP="00EB4B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330/1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1770 </w:t>
      </w:r>
      <w:r>
        <w:rPr>
          <w:sz w:val="22"/>
          <w:szCs w:val="22"/>
        </w:rPr>
        <w:t>330/1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460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EB4BF5" w:rsidRDefault="00EB4BF5" w:rsidP="00C41F7C">
      <w:pPr>
        <w:jc w:val="both"/>
        <w:rPr>
          <w:sz w:val="22"/>
          <w:szCs w:val="22"/>
        </w:rPr>
      </w:pPr>
    </w:p>
    <w:p w:rsidR="00C41F7C" w:rsidRDefault="00C41F7C" w:rsidP="00C41F7C">
      <w:pPr>
        <w:jc w:val="both"/>
        <w:rPr>
          <w:b/>
          <w:sz w:val="22"/>
          <w:szCs w:val="22"/>
        </w:rPr>
      </w:pPr>
    </w:p>
    <w:p w:rsidR="00C41F7C" w:rsidRDefault="00C41F7C" w:rsidP="00C41F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 w:rsidR="00EB4BF5">
        <w:rPr>
          <w:sz w:val="22"/>
          <w:szCs w:val="22"/>
        </w:rPr>
        <w:t>sta predmetni zemljišči</w:t>
      </w:r>
      <w:r>
        <w:rPr>
          <w:sz w:val="22"/>
          <w:szCs w:val="22"/>
        </w:rPr>
        <w:t xml:space="preserve"> opredeljen</w:t>
      </w:r>
      <w:r w:rsidR="00EB4BF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</w:t>
      </w:r>
      <w:r w:rsidR="00EB4BF5">
        <w:rPr>
          <w:sz w:val="22"/>
          <w:szCs w:val="22"/>
        </w:rPr>
        <w:t xml:space="preserve"> PO-900, z namembnostjo SSs</w:t>
      </w:r>
      <w:r>
        <w:rPr>
          <w:sz w:val="22"/>
          <w:szCs w:val="22"/>
        </w:rPr>
        <w:t xml:space="preserve">e – splošne eno in dvostanovanjske površine. </w:t>
      </w:r>
    </w:p>
    <w:p w:rsidR="00C41F7C" w:rsidRDefault="00C41F7C" w:rsidP="00C41F7C">
      <w:pPr>
        <w:pStyle w:val="Telobesedila"/>
        <w:ind w:right="264"/>
        <w:jc w:val="both"/>
        <w:rPr>
          <w:lang w:val="sl-SI"/>
        </w:rPr>
      </w:pPr>
    </w:p>
    <w:p w:rsidR="00C41F7C" w:rsidRDefault="00EB4BF5" w:rsidP="00C41F7C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C41F7C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C41F7C" w:rsidRDefault="00C41F7C" w:rsidP="00C41F7C">
      <w:pPr>
        <w:rPr>
          <w:sz w:val="22"/>
          <w:szCs w:val="22"/>
        </w:rPr>
      </w:pPr>
    </w:p>
    <w:p w:rsidR="00C41F7C" w:rsidRDefault="00C41F7C" w:rsidP="00C41F7C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 w:rsidR="006F6475">
        <w:rPr>
          <w:b/>
          <w:sz w:val="22"/>
          <w:szCs w:val="22"/>
        </w:rPr>
        <w:t>klicna cena: 169</w:t>
      </w:r>
      <w:r>
        <w:rPr>
          <w:b/>
          <w:sz w:val="22"/>
          <w:szCs w:val="22"/>
        </w:rPr>
        <w:t>.</w:t>
      </w:r>
      <w:r w:rsidR="006F647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0,00 EUR.</w:t>
      </w:r>
    </w:p>
    <w:p w:rsidR="00C41F7C" w:rsidRDefault="00C41F7C" w:rsidP="00C41F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6F6475">
        <w:rPr>
          <w:sz w:val="22"/>
          <w:szCs w:val="22"/>
        </w:rPr>
        <w:t>sto devetinšestdeset</w:t>
      </w:r>
      <w:r>
        <w:rPr>
          <w:sz w:val="22"/>
          <w:szCs w:val="22"/>
        </w:rPr>
        <w:t xml:space="preserve"> tisoč </w:t>
      </w:r>
      <w:r w:rsidR="006F6475">
        <w:rPr>
          <w:sz w:val="22"/>
          <w:szCs w:val="22"/>
        </w:rPr>
        <w:t>dvesto</w:t>
      </w:r>
      <w:r>
        <w:rPr>
          <w:sz w:val="22"/>
          <w:szCs w:val="22"/>
        </w:rPr>
        <w:t xml:space="preserve"> evrov 00/100)</w:t>
      </w:r>
    </w:p>
    <w:p w:rsidR="00C41F7C" w:rsidRDefault="00C41F7C" w:rsidP="00C41F7C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C41F7C" w:rsidRDefault="00C41F7C" w:rsidP="008B60C8">
      <w:pPr>
        <w:rPr>
          <w:sz w:val="22"/>
          <w:szCs w:val="22"/>
        </w:rPr>
      </w:pPr>
    </w:p>
    <w:p w:rsidR="008B60C8" w:rsidRDefault="008B60C8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6B7A72">
        <w:rPr>
          <w:sz w:val="22"/>
          <w:szCs w:val="22"/>
        </w:rPr>
        <w:t>4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in 2.8.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704958" w:rsidRPr="002D182A" w:rsidRDefault="00704958" w:rsidP="007049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2.5</w:t>
      </w:r>
      <w:r w:rsidRPr="002D182A">
        <w:rPr>
          <w:sz w:val="22"/>
          <w:szCs w:val="22"/>
        </w:rPr>
        <w:t xml:space="preserve">. </w:t>
      </w:r>
      <w:r>
        <w:rPr>
          <w:sz w:val="22"/>
          <w:szCs w:val="22"/>
        </w:rPr>
        <w:t>do 2.7. je 5</w:t>
      </w:r>
      <w:r w:rsidRPr="002D182A">
        <w:rPr>
          <w:sz w:val="22"/>
          <w:szCs w:val="22"/>
        </w:rPr>
        <w:t>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D212C7" w:rsidRPr="002D182A">
        <w:rPr>
          <w:sz w:val="22"/>
          <w:szCs w:val="22"/>
        </w:rPr>
        <w:t>1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6F6475">
        <w:rPr>
          <w:sz w:val="22"/>
          <w:szCs w:val="22"/>
        </w:rPr>
        <w:t>8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6F6475">
        <w:rPr>
          <w:sz w:val="22"/>
          <w:szCs w:val="22"/>
        </w:rPr>
        <w:t>8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7F58A6">
        <w:rPr>
          <w:b/>
          <w:sz w:val="22"/>
          <w:szCs w:val="22"/>
        </w:rPr>
        <w:t>26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="007F58A6">
        <w:rPr>
          <w:b/>
          <w:sz w:val="22"/>
          <w:szCs w:val="22"/>
        </w:rPr>
        <w:t>10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6B7A72">
        <w:rPr>
          <w:sz w:val="22"/>
          <w:szCs w:val="22"/>
        </w:rPr>
        <w:t>Kašelj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6B7A72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6B7A72">
        <w:rPr>
          <w:sz w:val="22"/>
          <w:szCs w:val="22"/>
        </w:rPr>
        <w:t>Dobrova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E1D3B">
        <w:rPr>
          <w:sz w:val="22"/>
          <w:szCs w:val="22"/>
        </w:rPr>
        <w:t>4</w:t>
      </w:r>
      <w:r w:rsidR="007D661F">
        <w:rPr>
          <w:sz w:val="22"/>
          <w:szCs w:val="22"/>
        </w:rPr>
        <w:t>0</w:t>
      </w:r>
      <w:r w:rsidR="00EE1D3B">
        <w:rPr>
          <w:sz w:val="22"/>
          <w:szCs w:val="22"/>
        </w:rPr>
        <w:t xml:space="preserve"> za zemljišče pod točko 2.3. v k.o. Kašelj,</w:t>
      </w:r>
    </w:p>
    <w:p w:rsidR="007D661F" w:rsidRDefault="007D661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2</w:t>
      </w:r>
      <w:r w:rsidR="007268D3">
        <w:rPr>
          <w:sz w:val="22"/>
          <w:szCs w:val="22"/>
        </w:rPr>
        <w:t>:</w:t>
      </w:r>
      <w:r w:rsidR="00EE1D3B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2.4. v k.o. </w:t>
      </w:r>
      <w:r w:rsidR="006B7A72">
        <w:rPr>
          <w:sz w:val="22"/>
          <w:szCs w:val="22"/>
        </w:rPr>
        <w:t>Glince</w:t>
      </w:r>
      <w:r>
        <w:rPr>
          <w:sz w:val="22"/>
          <w:szCs w:val="22"/>
        </w:rPr>
        <w:t>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2.5. v k. o. Nadgorica,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</w:t>
      </w:r>
      <w:r w:rsidR="006F6475">
        <w:rPr>
          <w:sz w:val="22"/>
          <w:szCs w:val="22"/>
        </w:rPr>
        <w:t>očko 2.6. v k. o. Gradišče II,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zemljišče pod točko 2.7. v k. o. Trnovsko predmestje</w:t>
      </w:r>
      <w:r w:rsidR="006F6475">
        <w:rPr>
          <w:sz w:val="22"/>
          <w:szCs w:val="22"/>
        </w:rPr>
        <w:t>,</w:t>
      </w:r>
    </w:p>
    <w:p w:rsidR="006F6475" w:rsidRDefault="006F6475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- 13.20 za zemljišči pod točko 2.8. v k.o. Kašelj.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C9611F">
        <w:rPr>
          <w:sz w:val="22"/>
          <w:szCs w:val="22"/>
        </w:rPr>
        <w:t>9</w:t>
      </w:r>
      <w:r w:rsidR="006B7A72">
        <w:rPr>
          <w:sz w:val="22"/>
          <w:szCs w:val="22"/>
        </w:rPr>
        <w:t>6/11</w:t>
      </w:r>
      <w:r w:rsidR="00912CD4">
        <w:rPr>
          <w:sz w:val="22"/>
          <w:szCs w:val="22"/>
        </w:rPr>
        <w:t xml:space="preserve">, k. o. </w:t>
      </w:r>
      <w:r w:rsidR="006B7A72">
        <w:rPr>
          <w:sz w:val="22"/>
          <w:szCs w:val="22"/>
        </w:rPr>
        <w:t>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6B7A72">
        <w:rPr>
          <w:sz w:val="22"/>
          <w:szCs w:val="22"/>
        </w:rPr>
        <w:t xml:space="preserve"> 1637/14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Dobrova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6B7A72">
        <w:rPr>
          <w:sz w:val="22"/>
          <w:szCs w:val="22"/>
        </w:rPr>
        <w:t>1424/9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</w:t>
      </w:r>
      <w:r w:rsidR="006B7A72">
        <w:rPr>
          <w:sz w:val="22"/>
          <w:szCs w:val="22"/>
        </w:rPr>
        <w:t xml:space="preserve"> 813/15</w:t>
      </w:r>
      <w:r>
        <w:rPr>
          <w:sz w:val="22"/>
          <w:szCs w:val="22"/>
        </w:rPr>
        <w:t xml:space="preserve"> k.o. </w:t>
      </w:r>
      <w:r w:rsidR="006B7A72">
        <w:rPr>
          <w:sz w:val="22"/>
          <w:szCs w:val="22"/>
        </w:rPr>
        <w:t>Glince</w:t>
      </w:r>
      <w:r>
        <w:rPr>
          <w:sz w:val="22"/>
          <w:szCs w:val="22"/>
        </w:rPr>
        <w:t>«,</w:t>
      </w:r>
    </w:p>
    <w:p w:rsidR="00B44816" w:rsidRDefault="007D661F" w:rsidP="00B4481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 </w:t>
      </w:r>
      <w:r w:rsidR="00B44816">
        <w:rPr>
          <w:sz w:val="22"/>
          <w:szCs w:val="22"/>
        </w:rPr>
        <w:t xml:space="preserve">- </w:t>
      </w:r>
      <w:r w:rsidR="00B44816" w:rsidRPr="002D182A">
        <w:rPr>
          <w:sz w:val="22"/>
          <w:szCs w:val="22"/>
        </w:rPr>
        <w:t>številka: 01261-0100000114, sklic na številko: 007-432000, z navedbo »plačilo varščine – parc.</w:t>
      </w:r>
      <w:r w:rsidR="00B44816">
        <w:rPr>
          <w:sz w:val="22"/>
          <w:szCs w:val="22"/>
        </w:rPr>
        <w:t xml:space="preserve"> št.  616/4, k. o. Nadgorica«,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52/19, k. o. Gradišče II«,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832/2, k. o. Trnovsko predmestje.«</w:t>
      </w:r>
    </w:p>
    <w:p w:rsidR="006F6475" w:rsidRDefault="006F6475" w:rsidP="006F647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</w:t>
      </w:r>
      <w:r>
        <w:rPr>
          <w:sz w:val="22"/>
          <w:szCs w:val="22"/>
        </w:rPr>
        <w:t>330/1</w:t>
      </w:r>
      <w:r>
        <w:rPr>
          <w:sz w:val="22"/>
          <w:szCs w:val="22"/>
        </w:rPr>
        <w:t xml:space="preserve">, k. o. </w:t>
      </w:r>
      <w:r>
        <w:rPr>
          <w:sz w:val="22"/>
          <w:szCs w:val="22"/>
        </w:rPr>
        <w:t>Kašelj</w:t>
      </w:r>
      <w:r>
        <w:rPr>
          <w:sz w:val="22"/>
          <w:szCs w:val="22"/>
        </w:rPr>
        <w:t>.«</w:t>
      </w: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7D661F" w:rsidRPr="006F6475" w:rsidRDefault="007D661F" w:rsidP="006F6475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2E66B8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>ktna oseba je Irena Plausteiner,</w:t>
      </w:r>
    </w:p>
    <w:p w:rsidR="00704958" w:rsidRDefault="00704958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zemljišča pod točko 2.5. do 2.7.,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46 72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 xml:space="preserve">ntaktna oseba je </w:t>
      </w:r>
      <w:r w:rsidR="006F6475">
        <w:rPr>
          <w:sz w:val="22"/>
          <w:szCs w:val="22"/>
        </w:rPr>
        <w:t>Milena Ratajc,</w:t>
      </w:r>
    </w:p>
    <w:p w:rsidR="006F6475" w:rsidRDefault="006F6475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zemljišči pod točko 2.8. na tel. št.: 01 306 41 76, kontaktna oseba je Ana Šavor.</w:t>
      </w:r>
    </w:p>
    <w:p w:rsidR="006F6475" w:rsidRPr="00912CD4" w:rsidRDefault="006F6475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</w:p>
    <w:p w:rsidR="00C87BE7" w:rsidRDefault="00C87BE7" w:rsidP="009A608E">
      <w:pPr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BD" w:rsidRDefault="00BF1CBD" w:rsidP="00FE57F3">
      <w:r>
        <w:separator/>
      </w:r>
    </w:p>
  </w:endnote>
  <w:endnote w:type="continuationSeparator" w:id="0">
    <w:p w:rsidR="00BF1CBD" w:rsidRDefault="00BF1CB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BD" w:rsidRDefault="00BF1CBD" w:rsidP="00FE57F3">
      <w:r>
        <w:separator/>
      </w:r>
    </w:p>
  </w:footnote>
  <w:footnote w:type="continuationSeparator" w:id="0">
    <w:p w:rsidR="00BF1CBD" w:rsidRDefault="00BF1CBD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961CE"/>
    <w:rsid w:val="00097A58"/>
    <w:rsid w:val="000B512D"/>
    <w:rsid w:val="000D4ABA"/>
    <w:rsid w:val="000D61F7"/>
    <w:rsid w:val="0010326C"/>
    <w:rsid w:val="00113994"/>
    <w:rsid w:val="0013280F"/>
    <w:rsid w:val="00166F9D"/>
    <w:rsid w:val="001A247F"/>
    <w:rsid w:val="001D69B7"/>
    <w:rsid w:val="00206F47"/>
    <w:rsid w:val="002155A5"/>
    <w:rsid w:val="00217B09"/>
    <w:rsid w:val="00226A79"/>
    <w:rsid w:val="00280E05"/>
    <w:rsid w:val="002869EF"/>
    <w:rsid w:val="00287915"/>
    <w:rsid w:val="002A2F1F"/>
    <w:rsid w:val="002C14AF"/>
    <w:rsid w:val="002C5B99"/>
    <w:rsid w:val="002D182A"/>
    <w:rsid w:val="002E66B8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82D90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5C45"/>
    <w:rsid w:val="007F58A6"/>
    <w:rsid w:val="007F5BDB"/>
    <w:rsid w:val="0080351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C61"/>
    <w:rsid w:val="008A4A2A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32F6F"/>
    <w:rsid w:val="00A475A7"/>
    <w:rsid w:val="00A60B7F"/>
    <w:rsid w:val="00A649BC"/>
    <w:rsid w:val="00A66FC2"/>
    <w:rsid w:val="00A71268"/>
    <w:rsid w:val="00A73DBB"/>
    <w:rsid w:val="00A86338"/>
    <w:rsid w:val="00AB1999"/>
    <w:rsid w:val="00AB5CD7"/>
    <w:rsid w:val="00AD235C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652A"/>
    <w:rsid w:val="00C41F7C"/>
    <w:rsid w:val="00C46AB6"/>
    <w:rsid w:val="00C7019C"/>
    <w:rsid w:val="00C87BE7"/>
    <w:rsid w:val="00C93DCA"/>
    <w:rsid w:val="00C9611F"/>
    <w:rsid w:val="00CA1EA2"/>
    <w:rsid w:val="00CC41B1"/>
    <w:rsid w:val="00CD42D3"/>
    <w:rsid w:val="00CE13A9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31D45C-29D3-432A-ADE0-91211C3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851D90-1986-4BD4-8269-A0554BF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13951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2</cp:revision>
  <cp:lastPrinted>2017-10-10T10:43:00Z</cp:lastPrinted>
  <dcterms:created xsi:type="dcterms:W3CDTF">2017-10-10T12:56:00Z</dcterms:created>
  <dcterms:modified xsi:type="dcterms:W3CDTF">2017-10-10T12:56:00Z</dcterms:modified>
</cp:coreProperties>
</file>