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600FE8" w:rsidRDefault="00600FE8"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v Odseku za prostorske planske akte v </w:t>
      </w:r>
      <w:r w:rsidR="009B3B50">
        <w:rPr>
          <w:rFonts w:ascii="Times New Roman" w:hAnsi="Times New Roman"/>
          <w:b/>
          <w:i w:val="0"/>
          <w:iCs/>
          <w:szCs w:val="22"/>
        </w:rPr>
        <w:t>Oddelku z</w:t>
      </w:r>
      <w:r>
        <w:rPr>
          <w:rFonts w:ascii="Times New Roman" w:hAnsi="Times New Roman"/>
          <w:b/>
          <w:i w:val="0"/>
          <w:iCs/>
          <w:szCs w:val="22"/>
        </w:rPr>
        <w:t>a urejanje prostora (šifra DM: 398</w:t>
      </w:r>
      <w:r w:rsidR="009B3B50">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9B3B50">
        <w:rPr>
          <w:rFonts w:ascii="Times New Roman" w:hAnsi="Times New Roman"/>
          <w:i w:val="0"/>
          <w:szCs w:val="22"/>
        </w:rPr>
        <w:t>5</w:t>
      </w:r>
      <w:r w:rsidRPr="00BA3F11">
        <w:rPr>
          <w:rFonts w:ascii="Times New Roman" w:hAnsi="Times New Roman"/>
          <w:i w:val="0"/>
          <w:szCs w:val="22"/>
        </w:rPr>
        <w:t xml:space="preserve"> let delovnih izkušenj</w:t>
      </w:r>
      <w:r w:rsidRPr="00BA3F11">
        <w:rPr>
          <w:rFonts w:ascii="Times New Roman" w:hAnsi="Times New Roman"/>
          <w:i w:val="0"/>
          <w:iCs/>
          <w:szCs w:val="22"/>
        </w:rPr>
        <w:t xml:space="preserve">; </w:t>
      </w:r>
    </w:p>
    <w:p w:rsidR="00600FE8" w:rsidRPr="004B7905"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600FE8" w:rsidRDefault="00600FE8"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4B7905" w:rsidRDefault="004B7905"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sodelovanje v najzahtevnejših projektnih skupinah,</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lastRenderedPageBreak/>
        <w:t>samostojno opravljanje drugih za</w:t>
      </w:r>
      <w:r>
        <w:rPr>
          <w:rFonts w:ascii="Times New Roman" w:hAnsi="Times New Roman"/>
          <w:i w:val="0"/>
          <w:szCs w:val="22"/>
        </w:rPr>
        <w:t>htevnejših nalog,</w:t>
      </w:r>
    </w:p>
    <w:p w:rsidR="004B7905" w:rsidRDefault="004B7905"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sodelovanje na javnih obravnavah.</w:t>
      </w:r>
    </w:p>
    <w:p w:rsidR="00923218" w:rsidRDefault="00923218" w:rsidP="009B3B50">
      <w:pPr>
        <w:pStyle w:val="Odstavekseznama"/>
        <w:ind w:left="360" w:right="-569"/>
        <w:rPr>
          <w:rFonts w:ascii="Times New Roman" w:hAnsi="Times New Roman"/>
          <w:i w:val="0"/>
          <w:szCs w:val="22"/>
        </w:rPr>
      </w:pP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v Odseku za prostorske planske akte v Oddelku za urejanje prostora</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 I</w:t>
      </w:r>
      <w:r w:rsidRPr="00BA3F11">
        <w:rPr>
          <w:rFonts w:ascii="Times New Roman" w:hAnsi="Times New Roman"/>
          <w:i w:val="0"/>
          <w:szCs w:val="22"/>
        </w:rPr>
        <w:t xml:space="preserve">. 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za urejanje prostora, Poljanska cesta 28</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9B3B50" w:rsidRPr="009B3B50" w:rsidRDefault="009B3B50" w:rsidP="009B3B50">
      <w:pPr>
        <w:ind w:right="-569"/>
        <w:rPr>
          <w:rFonts w:ascii="Times New Roman" w:hAnsi="Times New Roman"/>
          <w:i w:val="0"/>
          <w:iCs/>
          <w:szCs w:val="22"/>
        </w:rPr>
      </w:pPr>
      <w:r w:rsidRPr="009B3B50">
        <w:rPr>
          <w:rFonts w:ascii="Times New Roman" w:hAnsi="Times New Roman"/>
          <w:i w:val="0"/>
          <w:iCs/>
          <w:szCs w:val="22"/>
        </w:rPr>
        <w:t>Prednost pri izbiri bodo imeli kandidati z ustreznim strokovnim znanjem in izkušnjami s področja prostorskega planiranja</w:t>
      </w:r>
      <w:r w:rsidR="00C137E2">
        <w:rPr>
          <w:rFonts w:ascii="Times New Roman" w:hAnsi="Times New Roman"/>
          <w:i w:val="0"/>
          <w:iCs/>
          <w:szCs w:val="22"/>
        </w:rPr>
        <w:t xml:space="preserve"> </w:t>
      </w:r>
      <w:r w:rsidR="004B7905">
        <w:rPr>
          <w:rFonts w:ascii="Times New Roman" w:hAnsi="Times New Roman"/>
          <w:i w:val="0"/>
          <w:iCs/>
          <w:szCs w:val="22"/>
        </w:rPr>
        <w:t>/</w:t>
      </w:r>
      <w:r w:rsidR="00C137E2">
        <w:rPr>
          <w:rFonts w:ascii="Times New Roman" w:hAnsi="Times New Roman"/>
          <w:i w:val="0"/>
          <w:iCs/>
          <w:szCs w:val="22"/>
        </w:rPr>
        <w:t xml:space="preserve"> </w:t>
      </w:r>
      <w:r w:rsidR="004B7905">
        <w:rPr>
          <w:rFonts w:ascii="Times New Roman" w:hAnsi="Times New Roman"/>
          <w:i w:val="0"/>
          <w:iCs/>
          <w:szCs w:val="22"/>
        </w:rPr>
        <w:t>urbanističnega</w:t>
      </w:r>
      <w:r w:rsidR="00C137E2">
        <w:rPr>
          <w:rFonts w:ascii="Times New Roman" w:hAnsi="Times New Roman"/>
          <w:i w:val="0"/>
          <w:iCs/>
          <w:szCs w:val="22"/>
        </w:rPr>
        <w:t xml:space="preserve"> načrtovanja ter </w:t>
      </w:r>
      <w:r w:rsidR="004B7905">
        <w:rPr>
          <w:rFonts w:ascii="Times New Roman" w:hAnsi="Times New Roman"/>
          <w:i w:val="0"/>
          <w:iCs/>
          <w:szCs w:val="22"/>
        </w:rPr>
        <w:t xml:space="preserve">uporabe računalniških aplikacij (tudi GIS orodij) in </w:t>
      </w:r>
      <w:r w:rsidR="00C137E2">
        <w:rPr>
          <w:rFonts w:ascii="Times New Roman" w:hAnsi="Times New Roman"/>
          <w:i w:val="0"/>
          <w:iCs/>
          <w:szCs w:val="22"/>
        </w:rPr>
        <w:t xml:space="preserve">s </w:t>
      </w:r>
      <w:r w:rsidR="004B7905">
        <w:rPr>
          <w:rFonts w:ascii="Times New Roman" w:hAnsi="Times New Roman"/>
          <w:i w:val="0"/>
          <w:iCs/>
          <w:szCs w:val="22"/>
        </w:rPr>
        <w:t>poznavanjem področ</w:t>
      </w:r>
      <w:r w:rsidR="00C137E2">
        <w:rPr>
          <w:rFonts w:ascii="Times New Roman" w:hAnsi="Times New Roman"/>
          <w:i w:val="0"/>
          <w:iCs/>
          <w:szCs w:val="22"/>
        </w:rPr>
        <w:t xml:space="preserve">ij </w:t>
      </w:r>
      <w:r w:rsidR="004B7905">
        <w:rPr>
          <w:rFonts w:ascii="Times New Roman" w:hAnsi="Times New Roman"/>
          <w:i w:val="0"/>
          <w:iCs/>
          <w:szCs w:val="22"/>
        </w:rPr>
        <w:t>gospodarske javne infrastrukture</w:t>
      </w:r>
      <w:r w:rsidR="00C137E2">
        <w:rPr>
          <w:rFonts w:ascii="Times New Roman" w:hAnsi="Times New Roman"/>
          <w:i w:val="0"/>
          <w:iCs/>
          <w:szCs w:val="22"/>
        </w:rPr>
        <w:t xml:space="preserve"> ter varstva okolja</w:t>
      </w:r>
      <w:r w:rsidR="004B7905">
        <w:rPr>
          <w:rFonts w:ascii="Times New Roman" w:hAnsi="Times New Roman"/>
          <w:i w:val="0"/>
          <w:iCs/>
          <w:szCs w:val="22"/>
        </w:rPr>
        <w:t>.</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4B7905">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DA2AC4">
        <w:rPr>
          <w:iCs/>
          <w:sz w:val="22"/>
          <w:szCs w:val="22"/>
          <w:lang w:eastAsia="sl-SI"/>
        </w:rPr>
        <w:t xml:space="preserve"> 110-68</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15</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4B7905" w:rsidRPr="00733964">
        <w:rPr>
          <w:sz w:val="22"/>
          <w:szCs w:val="22"/>
        </w:rPr>
        <w:t>Liljana Jankovič Grobelšek, telefon 01/306-1534.</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422075" w:rsidRDefault="00422075"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DA2AC4">
        <w:rPr>
          <w:rFonts w:ascii="Times New Roman" w:hAnsi="Times New Roman"/>
          <w:i w:val="0"/>
          <w:iCs/>
          <w:szCs w:val="22"/>
        </w:rPr>
        <w:t>68</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733964">
        <w:rPr>
          <w:rFonts w:ascii="Times New Roman" w:hAnsi="Times New Roman"/>
          <w:i w:val="0"/>
          <w:iCs/>
          <w:szCs w:val="22"/>
        </w:rPr>
        <w:t>5. 8. 2019</w:t>
      </w:r>
      <w:bookmarkStart w:id="0" w:name="_GoBack"/>
      <w:bookmarkEnd w:id="0"/>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1"/>
  </w:num>
  <w:num w:numId="7">
    <w:abstractNumId w:val="26"/>
  </w:num>
  <w:num w:numId="8">
    <w:abstractNumId w:val="23"/>
  </w:num>
  <w:num w:numId="9">
    <w:abstractNumId w:val="18"/>
  </w:num>
  <w:num w:numId="10">
    <w:abstractNumId w:val="5"/>
  </w:num>
  <w:num w:numId="11">
    <w:abstractNumId w:val="25"/>
  </w:num>
  <w:num w:numId="12">
    <w:abstractNumId w:val="30"/>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1"/>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29"/>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7F64BF"/>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951B11"/>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917BC-D12D-4B6B-9CC4-5ABAD410E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Pages>
  <Words>1074</Words>
  <Characters>6126</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22</cp:revision>
  <cp:lastPrinted>2019-07-26T11:47:00Z</cp:lastPrinted>
  <dcterms:created xsi:type="dcterms:W3CDTF">2018-08-22T13:05:00Z</dcterms:created>
  <dcterms:modified xsi:type="dcterms:W3CDTF">2019-07-29T07:16:00Z</dcterms:modified>
</cp:coreProperties>
</file>